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45F46" w14:textId="77777777" w:rsidR="00AE0186" w:rsidRPr="00AE0186" w:rsidRDefault="00AE0186" w:rsidP="00AE0186">
      <w:pPr>
        <w:pStyle w:val="Rubrik1"/>
        <w:rPr>
          <w:rStyle w:val="Rubrik1Char"/>
          <w:rFonts w:ascii="Times New Roman" w:hAnsi="Times New Roman" w:cs="Times New Roman"/>
          <w:sz w:val="36"/>
        </w:rPr>
      </w:pPr>
      <w:r w:rsidRPr="00AE0186">
        <w:rPr>
          <w:rStyle w:val="Rubrik1Char"/>
          <w:rFonts w:ascii="Times New Roman" w:hAnsi="Times New Roman" w:cs="Times New Roman"/>
          <w:sz w:val="36"/>
        </w:rPr>
        <w:t xml:space="preserve">Multiparametric MR for non-invasive evaluation of tumour tissue histological characteristics after radionuclide therapy </w:t>
      </w:r>
    </w:p>
    <w:p w14:paraId="7177D52C" w14:textId="77777777" w:rsidR="00AE0186" w:rsidRPr="00AE0186" w:rsidRDefault="00AE0186" w:rsidP="00AE0186">
      <w:pPr>
        <w:spacing w:after="0"/>
        <w:jc w:val="center"/>
        <w:rPr>
          <w:rFonts w:ascii="Times New Roman" w:hAnsi="Times New Roman" w:cs="Times New Roman"/>
          <w:b/>
          <w:sz w:val="36"/>
          <w:szCs w:val="28"/>
        </w:rPr>
      </w:pPr>
    </w:p>
    <w:p w14:paraId="1D39E389" w14:textId="77777777" w:rsidR="00B82316" w:rsidRPr="00302470" w:rsidRDefault="00B82316" w:rsidP="00AE0186">
      <w:pPr>
        <w:rPr>
          <w:rFonts w:ascii="Times New Roman" w:hAnsi="Times New Roman" w:cs="Times New Roman"/>
          <w:lang w:val="sv-SE"/>
        </w:rPr>
      </w:pPr>
      <w:r w:rsidRPr="00302470">
        <w:rPr>
          <w:rFonts w:ascii="Times New Roman" w:hAnsi="Times New Roman" w:cs="Times New Roman"/>
          <w:lang w:val="sv-SE"/>
        </w:rPr>
        <w:t xml:space="preserve">Author list: </w:t>
      </w:r>
    </w:p>
    <w:p w14:paraId="50DABDA2" w14:textId="0C811314" w:rsidR="00AE0186" w:rsidRPr="00AE0186" w:rsidRDefault="00AE0186" w:rsidP="00AE0186">
      <w:pPr>
        <w:rPr>
          <w:rFonts w:ascii="Times New Roman" w:hAnsi="Times New Roman" w:cs="Times New Roman"/>
          <w:lang w:val="sv-SE"/>
        </w:rPr>
      </w:pPr>
      <w:r w:rsidRPr="00AE0186">
        <w:rPr>
          <w:rFonts w:ascii="Times New Roman" w:hAnsi="Times New Roman" w:cs="Times New Roman"/>
          <w:lang w:val="sv-SE"/>
        </w:rPr>
        <w:t>Mikael Montelius</w:t>
      </w:r>
      <w:r w:rsidR="00B82316">
        <w:rPr>
          <w:rFonts w:ascii="Times New Roman" w:hAnsi="Times New Roman" w:cs="Times New Roman"/>
          <w:vertAlign w:val="superscript"/>
          <w:lang w:val="sv-SE"/>
        </w:rPr>
        <w:t xml:space="preserve"> </w:t>
      </w:r>
      <w:r w:rsidR="00B82316">
        <w:rPr>
          <w:rFonts w:ascii="Times New Roman" w:hAnsi="Times New Roman" w:cs="Times New Roman"/>
          <w:lang w:val="sv-SE"/>
        </w:rPr>
        <w:t xml:space="preserve"> (</w:t>
      </w:r>
      <w:r w:rsidR="00B82316" w:rsidRPr="001D7F5F">
        <w:rPr>
          <w:rFonts w:ascii="Times New Roman" w:hAnsi="Times New Roman" w:cs="Times New Roman"/>
          <w:noProof/>
          <w:lang w:val="sv-SE"/>
        </w:rPr>
        <w:t>mikael.montelius@radfys.gu.se</w:t>
      </w:r>
      <w:r w:rsidR="00B82316">
        <w:rPr>
          <w:rFonts w:ascii="Times New Roman" w:hAnsi="Times New Roman" w:cs="Times New Roman"/>
          <w:lang w:val="sv-SE"/>
        </w:rPr>
        <w:t>)</w:t>
      </w:r>
    </w:p>
    <w:p w14:paraId="72A9D8E6" w14:textId="0CAAEB14" w:rsidR="00AE0186" w:rsidRPr="00AE0186" w:rsidRDefault="00AE0186" w:rsidP="00AE0186">
      <w:pPr>
        <w:rPr>
          <w:rFonts w:ascii="Times New Roman" w:hAnsi="Times New Roman" w:cs="Times New Roman"/>
          <w:lang w:val="sv-SE"/>
        </w:rPr>
      </w:pPr>
      <w:r w:rsidRPr="00AE0186">
        <w:rPr>
          <w:rFonts w:ascii="Times New Roman" w:hAnsi="Times New Roman" w:cs="Times New Roman"/>
          <w:lang w:val="sv-SE"/>
        </w:rPr>
        <w:t>Oscar Jalnefjord</w:t>
      </w:r>
      <w:r w:rsidR="00B82316">
        <w:rPr>
          <w:rFonts w:ascii="Times New Roman" w:hAnsi="Times New Roman" w:cs="Times New Roman"/>
          <w:vertAlign w:val="superscript"/>
          <w:lang w:val="sv-SE"/>
        </w:rPr>
        <w:t xml:space="preserve"> </w:t>
      </w:r>
      <w:r w:rsidR="00B82316">
        <w:rPr>
          <w:rFonts w:ascii="Times New Roman" w:hAnsi="Times New Roman" w:cs="Times New Roman"/>
          <w:lang w:val="sv-SE"/>
        </w:rPr>
        <w:t>(</w:t>
      </w:r>
      <w:r w:rsidR="00B82316" w:rsidRPr="001D7F5F">
        <w:rPr>
          <w:rFonts w:ascii="Times New Roman" w:hAnsi="Times New Roman" w:cs="Times New Roman"/>
          <w:noProof/>
          <w:lang w:val="sv-SE"/>
        </w:rPr>
        <w:t>oscar.jalnefjord@vgregion.se</w:t>
      </w:r>
      <w:r w:rsidR="00B82316">
        <w:rPr>
          <w:rFonts w:ascii="Times New Roman" w:hAnsi="Times New Roman" w:cs="Times New Roman"/>
          <w:lang w:val="sv-SE"/>
        </w:rPr>
        <w:t>)</w:t>
      </w:r>
    </w:p>
    <w:p w14:paraId="78F2E2B7" w14:textId="3D841A78" w:rsidR="00AE0186" w:rsidRPr="00AE0186" w:rsidRDefault="00AE0186" w:rsidP="00AE0186">
      <w:pPr>
        <w:rPr>
          <w:rFonts w:ascii="Times New Roman" w:hAnsi="Times New Roman" w:cs="Times New Roman"/>
          <w:lang w:val="sv-SE"/>
        </w:rPr>
      </w:pPr>
      <w:r w:rsidRPr="00AE0186">
        <w:rPr>
          <w:rFonts w:ascii="Times New Roman" w:hAnsi="Times New Roman" w:cs="Times New Roman"/>
          <w:lang w:val="sv-SE"/>
        </w:rPr>
        <w:t>Johan Spetz</w:t>
      </w:r>
      <w:r w:rsidR="00B82316">
        <w:rPr>
          <w:rFonts w:ascii="Times New Roman" w:hAnsi="Times New Roman" w:cs="Times New Roman"/>
          <w:vertAlign w:val="superscript"/>
          <w:lang w:val="sv-SE"/>
        </w:rPr>
        <w:t xml:space="preserve">  </w:t>
      </w:r>
      <w:r w:rsidR="00B82316">
        <w:rPr>
          <w:rFonts w:ascii="Times New Roman" w:hAnsi="Times New Roman" w:cs="Times New Roman"/>
          <w:lang w:val="sv-SE"/>
        </w:rPr>
        <w:t>(</w:t>
      </w:r>
      <w:r w:rsidR="00B82316" w:rsidRPr="001D7F5F">
        <w:rPr>
          <w:rFonts w:ascii="Times New Roman" w:hAnsi="Times New Roman" w:cs="Times New Roman"/>
          <w:noProof/>
          <w:lang w:val="sv-SE"/>
        </w:rPr>
        <w:t>spetz@hsph.harvard.edu</w:t>
      </w:r>
      <w:r w:rsidR="00B82316">
        <w:rPr>
          <w:rFonts w:ascii="Times New Roman" w:hAnsi="Times New Roman" w:cs="Times New Roman"/>
          <w:lang w:val="sv-SE"/>
        </w:rPr>
        <w:t>)</w:t>
      </w:r>
    </w:p>
    <w:p w14:paraId="18F08DBB" w14:textId="412FD223" w:rsidR="00AE0186" w:rsidRPr="00AE0186" w:rsidRDefault="00AE0186" w:rsidP="00AE0186">
      <w:pPr>
        <w:rPr>
          <w:rFonts w:ascii="Times New Roman" w:hAnsi="Times New Roman" w:cs="Times New Roman"/>
          <w:lang w:val="sv-SE"/>
        </w:rPr>
      </w:pPr>
      <w:r w:rsidRPr="00AE0186">
        <w:rPr>
          <w:rFonts w:ascii="Times New Roman" w:hAnsi="Times New Roman" w:cs="Times New Roman"/>
          <w:lang w:val="sv-SE"/>
        </w:rPr>
        <w:t>Ola Nilsson</w:t>
      </w:r>
      <w:r w:rsidR="00B82316">
        <w:rPr>
          <w:rFonts w:ascii="Times New Roman" w:hAnsi="Times New Roman" w:cs="Times New Roman"/>
          <w:vertAlign w:val="superscript"/>
          <w:lang w:val="sv-SE"/>
        </w:rPr>
        <w:t xml:space="preserve"> </w:t>
      </w:r>
      <w:r w:rsidR="00B82316">
        <w:rPr>
          <w:rFonts w:ascii="Times New Roman" w:hAnsi="Times New Roman" w:cs="Times New Roman"/>
          <w:lang w:val="sv-SE"/>
        </w:rPr>
        <w:t>(</w:t>
      </w:r>
      <w:r w:rsidR="00B82316" w:rsidRPr="001D7F5F">
        <w:rPr>
          <w:rFonts w:ascii="Times New Roman" w:hAnsi="Times New Roman" w:cs="Times New Roman"/>
          <w:noProof/>
          <w:lang w:val="sv-SE"/>
        </w:rPr>
        <w:t>ola.nilsson@vgregion.se</w:t>
      </w:r>
      <w:r w:rsidR="00B82316">
        <w:rPr>
          <w:rFonts w:ascii="Times New Roman" w:hAnsi="Times New Roman" w:cs="Times New Roman"/>
          <w:lang w:val="sv-SE"/>
        </w:rPr>
        <w:t>)</w:t>
      </w:r>
    </w:p>
    <w:p w14:paraId="5F79ED2A" w14:textId="4A33FAC2" w:rsidR="00AE0186" w:rsidRPr="00AE0186" w:rsidRDefault="00AE0186" w:rsidP="00AE0186">
      <w:pPr>
        <w:rPr>
          <w:rFonts w:ascii="Times New Roman" w:hAnsi="Times New Roman" w:cs="Times New Roman"/>
          <w:lang w:val="sv-SE"/>
        </w:rPr>
      </w:pPr>
      <w:r w:rsidRPr="00AE0186">
        <w:rPr>
          <w:rFonts w:ascii="Times New Roman" w:hAnsi="Times New Roman" w:cs="Times New Roman"/>
          <w:lang w:val="sv-SE"/>
        </w:rPr>
        <w:t>Eva Forssell-Aronsson</w:t>
      </w:r>
      <w:r w:rsidR="00B82316">
        <w:rPr>
          <w:rFonts w:ascii="Times New Roman" w:hAnsi="Times New Roman" w:cs="Times New Roman"/>
          <w:vertAlign w:val="superscript"/>
          <w:lang w:val="sv-SE"/>
        </w:rPr>
        <w:t xml:space="preserve"> </w:t>
      </w:r>
      <w:r w:rsidR="00B82316">
        <w:rPr>
          <w:rFonts w:ascii="Times New Roman" w:hAnsi="Times New Roman" w:cs="Times New Roman"/>
          <w:lang w:val="sv-SE"/>
        </w:rPr>
        <w:t>(</w:t>
      </w:r>
      <w:r w:rsidR="00B82316" w:rsidRPr="001D7F5F">
        <w:rPr>
          <w:rFonts w:ascii="Times New Roman" w:hAnsi="Times New Roman" w:cs="Times New Roman"/>
          <w:noProof/>
          <w:lang w:val="sv-SE"/>
        </w:rPr>
        <w:t>eva.forssell_aronsson@radfys.gu.se</w:t>
      </w:r>
      <w:r w:rsidR="00B82316">
        <w:rPr>
          <w:rFonts w:ascii="Times New Roman" w:hAnsi="Times New Roman" w:cs="Times New Roman"/>
          <w:lang w:val="sv-SE"/>
        </w:rPr>
        <w:t>)</w:t>
      </w:r>
    </w:p>
    <w:p w14:paraId="638C40DE" w14:textId="5BFEEC9D" w:rsidR="00AE0186" w:rsidRPr="00AE0186" w:rsidRDefault="00B82316" w:rsidP="00AE0186">
      <w:pPr>
        <w:pStyle w:val="Brdtext"/>
        <w:spacing w:after="0" w:line="257" w:lineRule="auto"/>
        <w:rPr>
          <w:rFonts w:ascii="Times New Roman" w:hAnsi="Times New Roman" w:cs="Times New Roman"/>
          <w:vertAlign w:val="superscript"/>
          <w:lang w:val="sv-SE"/>
        </w:rPr>
      </w:pPr>
      <w:r>
        <w:rPr>
          <w:rFonts w:ascii="Times New Roman" w:hAnsi="Times New Roman" w:cs="Times New Roman"/>
          <w:lang w:val="sv-SE"/>
        </w:rPr>
        <w:t>Maria Ljungberg (</w:t>
      </w:r>
      <w:r w:rsidRPr="001D7F5F">
        <w:rPr>
          <w:rFonts w:ascii="Times New Roman" w:hAnsi="Times New Roman" w:cs="Times New Roman"/>
          <w:noProof/>
          <w:lang w:val="sv-SE"/>
        </w:rPr>
        <w:t>maria.ljungberg@vgregion.se</w:t>
      </w:r>
      <w:r>
        <w:rPr>
          <w:rFonts w:ascii="Times New Roman" w:hAnsi="Times New Roman" w:cs="Times New Roman"/>
          <w:lang w:val="sv-SE"/>
        </w:rPr>
        <w:t>)</w:t>
      </w:r>
    </w:p>
    <w:p w14:paraId="16A171F9" w14:textId="77777777" w:rsidR="00AE0186" w:rsidRPr="00AE0186" w:rsidRDefault="00AE0186" w:rsidP="00AE0186">
      <w:pPr>
        <w:pStyle w:val="Brdtext"/>
        <w:spacing w:after="0" w:line="257" w:lineRule="auto"/>
        <w:rPr>
          <w:rFonts w:ascii="Times New Roman" w:hAnsi="Times New Roman" w:cs="Times New Roman"/>
          <w:lang w:val="sv-SE"/>
        </w:rPr>
      </w:pPr>
    </w:p>
    <w:p w14:paraId="4A9E1175" w14:textId="77777777" w:rsidR="00AE0186" w:rsidRPr="00AE0186" w:rsidRDefault="00AE0186" w:rsidP="00AE0186">
      <w:pPr>
        <w:rPr>
          <w:rFonts w:ascii="Times New Roman" w:hAnsi="Times New Roman" w:cs="Times New Roman"/>
          <w:noProof/>
        </w:rPr>
      </w:pPr>
      <w:r w:rsidRPr="00AE0186">
        <w:rPr>
          <w:rFonts w:ascii="Times New Roman" w:hAnsi="Times New Roman" w:cs="Times New Roman"/>
          <w:noProof/>
        </w:rPr>
        <w:t xml:space="preserve">Corresponding author details: </w:t>
      </w:r>
    </w:p>
    <w:p w14:paraId="2D109198" w14:textId="60C951E4" w:rsidR="00AE0186" w:rsidRPr="00AE0186" w:rsidRDefault="00AE0186" w:rsidP="00AE0186">
      <w:pPr>
        <w:rPr>
          <w:rFonts w:ascii="Times New Roman" w:hAnsi="Times New Roman" w:cs="Times New Roman"/>
          <w:noProof/>
        </w:rPr>
      </w:pPr>
      <w:r w:rsidRPr="00AE0186">
        <w:rPr>
          <w:rFonts w:ascii="Times New Roman" w:hAnsi="Times New Roman" w:cs="Times New Roman"/>
          <w:noProof/>
        </w:rPr>
        <w:t>Mikael Montelius</w:t>
      </w:r>
      <w:r w:rsidRPr="00AE0186">
        <w:rPr>
          <w:rFonts w:ascii="Times New Roman" w:hAnsi="Times New Roman" w:cs="Times New Roman"/>
          <w:noProof/>
        </w:rPr>
        <w:br/>
        <w:t>Department of Radiation Physics, Institute of Clinical Sciences, University of Gothenburg</w:t>
      </w:r>
      <w:r w:rsidRPr="00AE0186">
        <w:rPr>
          <w:rFonts w:ascii="Times New Roman" w:hAnsi="Times New Roman" w:cs="Times New Roman"/>
          <w:noProof/>
        </w:rPr>
        <w:br/>
        <w:t>MR centre, Bruna stråket 13, 413 45 Gothenburg, Sweden</w:t>
      </w:r>
      <w:r w:rsidRPr="00AE0186">
        <w:rPr>
          <w:rFonts w:ascii="Times New Roman" w:hAnsi="Times New Roman" w:cs="Times New Roman"/>
          <w:noProof/>
        </w:rPr>
        <w:br/>
      </w:r>
      <w:r w:rsidRPr="001D7F5F">
        <w:rPr>
          <w:rFonts w:ascii="Times New Roman" w:hAnsi="Times New Roman" w:cs="Times New Roman"/>
          <w:noProof/>
        </w:rPr>
        <w:t>mikael.montelius@radfys.gu.se</w:t>
      </w:r>
    </w:p>
    <w:p w14:paraId="6FAE30C2" w14:textId="77777777" w:rsidR="00AE0186" w:rsidRPr="00AE0186" w:rsidRDefault="00AE0186" w:rsidP="00AE0186">
      <w:pPr>
        <w:rPr>
          <w:rFonts w:ascii="Times New Roman" w:hAnsi="Times New Roman" w:cs="Times New Roman"/>
          <w:noProof/>
        </w:rPr>
      </w:pPr>
    </w:p>
    <w:p w14:paraId="089179B1" w14:textId="77777777" w:rsidR="00AE0186" w:rsidRPr="00AE0186" w:rsidRDefault="00AE0186" w:rsidP="00AE0186">
      <w:pPr>
        <w:rPr>
          <w:rFonts w:ascii="Times New Roman" w:hAnsi="Times New Roman" w:cs="Times New Roman"/>
          <w:noProof/>
        </w:rPr>
      </w:pPr>
      <w:r w:rsidRPr="00AE0186">
        <w:rPr>
          <w:rFonts w:ascii="Times New Roman" w:hAnsi="Times New Roman" w:cs="Times New Roman"/>
          <w:noProof/>
        </w:rPr>
        <w:t xml:space="preserve">Keywords: </w:t>
      </w:r>
      <w:r w:rsidRPr="00AE0186">
        <w:rPr>
          <w:rFonts w:ascii="Times New Roman" w:hAnsi="Times New Roman" w:cs="Times New Roman"/>
        </w:rPr>
        <w:t>Cancer, Functional MRI, IVIM, Tumo</w:t>
      </w:r>
      <w:r w:rsidR="000A58A4">
        <w:rPr>
          <w:rFonts w:ascii="Times New Roman" w:hAnsi="Times New Roman" w:cs="Times New Roman"/>
        </w:rPr>
        <w:t>u</w:t>
      </w:r>
      <w:r w:rsidRPr="00AE0186">
        <w:rPr>
          <w:rFonts w:ascii="Times New Roman" w:hAnsi="Times New Roman" w:cs="Times New Roman"/>
        </w:rPr>
        <w:t>r therapy response, Histopathology</w:t>
      </w:r>
    </w:p>
    <w:p w14:paraId="4FF62E7A" w14:textId="11D44263" w:rsidR="00AE0186" w:rsidRPr="00AE0186" w:rsidRDefault="00AE0186" w:rsidP="00AE0186">
      <w:pPr>
        <w:rPr>
          <w:rFonts w:ascii="Times New Roman" w:hAnsi="Times New Roman" w:cs="Times New Roman"/>
        </w:rPr>
      </w:pPr>
      <w:r w:rsidRPr="00105B70">
        <w:rPr>
          <w:rFonts w:ascii="Times New Roman" w:hAnsi="Times New Roman" w:cs="Times New Roman"/>
        </w:rPr>
        <w:t xml:space="preserve">Word count:  </w:t>
      </w:r>
      <w:r w:rsidR="00872354">
        <w:rPr>
          <w:rFonts w:ascii="Times New Roman" w:hAnsi="Times New Roman" w:cs="Times New Roman"/>
        </w:rPr>
        <w:t>7906</w:t>
      </w:r>
    </w:p>
    <w:p w14:paraId="3261DA7C" w14:textId="77777777" w:rsidR="00AE0186" w:rsidRDefault="000812F9" w:rsidP="000812F9">
      <w:pPr>
        <w:rPr>
          <w:rFonts w:ascii="Times New Roman" w:hAnsi="Times New Roman" w:cs="Times New Roman"/>
          <w:noProof/>
        </w:rPr>
      </w:pPr>
      <w:r>
        <w:rPr>
          <w:rFonts w:ascii="Times New Roman" w:hAnsi="Times New Roman" w:cs="Times New Roman"/>
          <w:noProof/>
        </w:rPr>
        <w:t>List of abbreviations:</w:t>
      </w:r>
    </w:p>
    <w:p w14:paraId="6F078A8E"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ADC</w:t>
      </w:r>
      <w:r w:rsidRPr="00D40908">
        <w:rPr>
          <w:rFonts w:ascii="Times New Roman" w:hAnsi="Times New Roman" w:cs="Times New Roman"/>
        </w:rPr>
        <w:tab/>
      </w:r>
      <w:r w:rsidRPr="00D40908">
        <w:rPr>
          <w:rFonts w:ascii="Times New Roman" w:hAnsi="Times New Roman" w:cs="Times New Roman"/>
        </w:rPr>
        <w:tab/>
        <w:t>apparent diffusion coefficient</w:t>
      </w:r>
    </w:p>
    <w:p w14:paraId="0F5B5CAE"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 xml:space="preserve">AT </w:t>
      </w:r>
      <w:r w:rsidRPr="00D40908">
        <w:rPr>
          <w:rFonts w:ascii="Times New Roman" w:hAnsi="Times New Roman" w:cs="Times New Roman"/>
        </w:rPr>
        <w:tab/>
      </w:r>
      <w:r w:rsidRPr="00D40908">
        <w:rPr>
          <w:rFonts w:ascii="Times New Roman" w:hAnsi="Times New Roman" w:cs="Times New Roman"/>
        </w:rPr>
        <w:tab/>
        <w:t>arrival time</w:t>
      </w:r>
    </w:p>
    <w:p w14:paraId="3EFF32B0"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 xml:space="preserve">BE </w:t>
      </w:r>
      <w:r w:rsidRPr="00D40908">
        <w:rPr>
          <w:rFonts w:ascii="Times New Roman" w:hAnsi="Times New Roman" w:cs="Times New Roman"/>
        </w:rPr>
        <w:tab/>
      </w:r>
      <w:r w:rsidRPr="00D40908">
        <w:rPr>
          <w:rFonts w:ascii="Times New Roman" w:hAnsi="Times New Roman" w:cs="Times New Roman"/>
        </w:rPr>
        <w:tab/>
        <w:t>brevity of enhancement</w:t>
      </w:r>
    </w:p>
    <w:p w14:paraId="5F485B9C"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D</w:t>
      </w:r>
      <w:r w:rsidRPr="00D40908">
        <w:rPr>
          <w:rFonts w:ascii="Times New Roman" w:hAnsi="Times New Roman" w:cs="Times New Roman"/>
        </w:rPr>
        <w:tab/>
      </w:r>
      <w:r w:rsidRPr="00D40908">
        <w:rPr>
          <w:rFonts w:ascii="Times New Roman" w:hAnsi="Times New Roman" w:cs="Times New Roman"/>
        </w:rPr>
        <w:tab/>
        <w:t>diffusion coefficient</w:t>
      </w:r>
    </w:p>
    <w:p w14:paraId="75EF490F"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D*</w:t>
      </w:r>
      <w:r w:rsidRPr="00D40908">
        <w:rPr>
          <w:rFonts w:ascii="Times New Roman" w:hAnsi="Times New Roman" w:cs="Times New Roman"/>
        </w:rPr>
        <w:tab/>
      </w:r>
      <w:r w:rsidRPr="00D40908">
        <w:rPr>
          <w:rFonts w:ascii="Times New Roman" w:hAnsi="Times New Roman" w:cs="Times New Roman"/>
        </w:rPr>
        <w:tab/>
        <w:t>Pseudo diffusion coefficient</w:t>
      </w:r>
    </w:p>
    <w:p w14:paraId="77D2B909"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DCE</w:t>
      </w:r>
      <w:r w:rsidRPr="00D40908">
        <w:rPr>
          <w:rFonts w:ascii="Times New Roman" w:hAnsi="Times New Roman" w:cs="Times New Roman"/>
        </w:rPr>
        <w:tab/>
      </w:r>
      <w:r w:rsidRPr="00D40908">
        <w:rPr>
          <w:rFonts w:ascii="Times New Roman" w:hAnsi="Times New Roman" w:cs="Times New Roman"/>
        </w:rPr>
        <w:tab/>
        <w:t>dynamic contrast enhanced</w:t>
      </w:r>
    </w:p>
    <w:p w14:paraId="6A118062"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DWI</w:t>
      </w:r>
      <w:r w:rsidRPr="00D40908">
        <w:rPr>
          <w:rFonts w:ascii="Times New Roman" w:hAnsi="Times New Roman" w:cs="Times New Roman"/>
        </w:rPr>
        <w:tab/>
      </w:r>
      <w:r w:rsidRPr="00D40908">
        <w:rPr>
          <w:rFonts w:ascii="Times New Roman" w:hAnsi="Times New Roman" w:cs="Times New Roman"/>
        </w:rPr>
        <w:tab/>
        <w:t>diffusion weighted MRI</w:t>
      </w:r>
    </w:p>
    <w:p w14:paraId="3C772205"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f</w:t>
      </w:r>
      <w:r w:rsidRPr="00D40908">
        <w:rPr>
          <w:rFonts w:ascii="Times New Roman" w:hAnsi="Times New Roman" w:cs="Times New Roman"/>
        </w:rPr>
        <w:tab/>
      </w:r>
      <w:r w:rsidRPr="00D40908">
        <w:rPr>
          <w:rFonts w:ascii="Times New Roman" w:hAnsi="Times New Roman" w:cs="Times New Roman"/>
        </w:rPr>
        <w:tab/>
        <w:t>perfusion fraction</w:t>
      </w:r>
    </w:p>
    <w:p w14:paraId="4160DB4E"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FD</w:t>
      </w:r>
      <w:r w:rsidRPr="00D40908">
        <w:rPr>
          <w:rFonts w:ascii="Times New Roman" w:hAnsi="Times New Roman" w:cs="Times New Roman"/>
        </w:rPr>
        <w:tab/>
      </w:r>
      <w:r w:rsidRPr="00D40908">
        <w:rPr>
          <w:rFonts w:ascii="Times New Roman" w:hAnsi="Times New Roman" w:cs="Times New Roman"/>
        </w:rPr>
        <w:tab/>
        <w:t>Fibrotic density</w:t>
      </w:r>
    </w:p>
    <w:p w14:paraId="3BCA0FBC"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IFP</w:t>
      </w:r>
      <w:r w:rsidRPr="00D40908">
        <w:rPr>
          <w:rFonts w:ascii="Times New Roman" w:hAnsi="Times New Roman" w:cs="Times New Roman"/>
        </w:rPr>
        <w:tab/>
      </w:r>
      <w:r w:rsidRPr="00D40908">
        <w:rPr>
          <w:rFonts w:ascii="Times New Roman" w:hAnsi="Times New Roman" w:cs="Times New Roman"/>
        </w:rPr>
        <w:tab/>
        <w:t>Interstitial fluid pressure</w:t>
      </w:r>
    </w:p>
    <w:p w14:paraId="51CA7550"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IS</w:t>
      </w:r>
      <w:r w:rsidRPr="00D40908">
        <w:rPr>
          <w:rFonts w:ascii="Times New Roman" w:hAnsi="Times New Roman" w:cs="Times New Roman"/>
        </w:rPr>
        <w:tab/>
      </w:r>
      <w:r w:rsidRPr="00D40908">
        <w:rPr>
          <w:rFonts w:ascii="Times New Roman" w:hAnsi="Times New Roman" w:cs="Times New Roman"/>
        </w:rPr>
        <w:tab/>
        <w:t>initial slope</w:t>
      </w:r>
    </w:p>
    <w:p w14:paraId="5F036BFB"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IVIM</w:t>
      </w:r>
      <w:r w:rsidRPr="00D40908">
        <w:rPr>
          <w:rFonts w:ascii="Times New Roman" w:hAnsi="Times New Roman" w:cs="Times New Roman"/>
        </w:rPr>
        <w:tab/>
      </w:r>
      <w:r w:rsidRPr="00D40908">
        <w:rPr>
          <w:rFonts w:ascii="Times New Roman" w:hAnsi="Times New Roman" w:cs="Times New Roman"/>
        </w:rPr>
        <w:tab/>
        <w:t>intravoxel incoherent motion</w:t>
      </w:r>
    </w:p>
    <w:p w14:paraId="215267EF"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MVD</w:t>
      </w:r>
      <w:r w:rsidRPr="00D40908">
        <w:rPr>
          <w:rFonts w:ascii="Times New Roman" w:hAnsi="Times New Roman" w:cs="Times New Roman"/>
        </w:rPr>
        <w:tab/>
      </w:r>
      <w:r w:rsidRPr="00D40908">
        <w:rPr>
          <w:rFonts w:ascii="Times New Roman" w:hAnsi="Times New Roman" w:cs="Times New Roman"/>
        </w:rPr>
        <w:tab/>
        <w:t>microv</w:t>
      </w:r>
      <w:r>
        <w:rPr>
          <w:rFonts w:ascii="Times New Roman" w:hAnsi="Times New Roman" w:cs="Times New Roman"/>
        </w:rPr>
        <w:t>ascular</w:t>
      </w:r>
      <w:r w:rsidRPr="00D40908">
        <w:rPr>
          <w:rFonts w:ascii="Times New Roman" w:hAnsi="Times New Roman" w:cs="Times New Roman"/>
        </w:rPr>
        <w:t xml:space="preserve"> density</w:t>
      </w:r>
    </w:p>
    <w:p w14:paraId="7169F6F1"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ROI</w:t>
      </w:r>
      <w:r w:rsidRPr="00D40908">
        <w:rPr>
          <w:rFonts w:ascii="Times New Roman" w:hAnsi="Times New Roman" w:cs="Times New Roman"/>
        </w:rPr>
        <w:tab/>
      </w:r>
      <w:r w:rsidRPr="00D40908">
        <w:rPr>
          <w:rFonts w:ascii="Times New Roman" w:hAnsi="Times New Roman" w:cs="Times New Roman"/>
        </w:rPr>
        <w:tab/>
        <w:t>region-of-interest</w:t>
      </w:r>
    </w:p>
    <w:p w14:paraId="09336175"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SEmax</w:t>
      </w:r>
      <w:r w:rsidRPr="00D40908">
        <w:rPr>
          <w:rFonts w:ascii="Times New Roman" w:hAnsi="Times New Roman" w:cs="Times New Roman"/>
        </w:rPr>
        <w:tab/>
      </w:r>
      <w:r w:rsidRPr="00D40908">
        <w:rPr>
          <w:rFonts w:ascii="Times New Roman" w:hAnsi="Times New Roman" w:cs="Times New Roman"/>
        </w:rPr>
        <w:tab/>
        <w:t>relative maximum signal enhancement</w:t>
      </w:r>
    </w:p>
    <w:p w14:paraId="132E7A2E"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T1, T2, T2*</w:t>
      </w:r>
      <w:r w:rsidRPr="00D40908">
        <w:rPr>
          <w:rFonts w:ascii="Times New Roman" w:hAnsi="Times New Roman" w:cs="Times New Roman"/>
        </w:rPr>
        <w:tab/>
      </w:r>
      <w:r>
        <w:rPr>
          <w:rFonts w:ascii="Times New Roman" w:hAnsi="Times New Roman" w:cs="Times New Roman"/>
        </w:rPr>
        <w:tab/>
      </w:r>
      <w:r w:rsidRPr="00D40908">
        <w:rPr>
          <w:rFonts w:ascii="Times New Roman" w:hAnsi="Times New Roman" w:cs="Times New Roman"/>
        </w:rPr>
        <w:t>magnetic relaxation time constants</w:t>
      </w:r>
    </w:p>
    <w:p w14:paraId="791204C8"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TIC</w:t>
      </w:r>
      <w:r w:rsidRPr="00D40908">
        <w:rPr>
          <w:rFonts w:ascii="Times New Roman" w:hAnsi="Times New Roman" w:cs="Times New Roman"/>
        </w:rPr>
        <w:tab/>
      </w:r>
      <w:r w:rsidRPr="00D40908">
        <w:rPr>
          <w:rFonts w:ascii="Times New Roman" w:hAnsi="Times New Roman" w:cs="Times New Roman"/>
        </w:rPr>
        <w:tab/>
        <w:t>MR signal time-intensity curve</w:t>
      </w:r>
    </w:p>
    <w:p w14:paraId="434E7733"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TOP</w:t>
      </w:r>
      <w:r w:rsidRPr="00D40908">
        <w:rPr>
          <w:rFonts w:ascii="Times New Roman" w:hAnsi="Times New Roman" w:cs="Times New Roman"/>
        </w:rPr>
        <w:tab/>
      </w:r>
      <w:r w:rsidRPr="00D40908">
        <w:rPr>
          <w:rFonts w:ascii="Times New Roman" w:hAnsi="Times New Roman" w:cs="Times New Roman"/>
        </w:rPr>
        <w:tab/>
        <w:t>time of peak intensity</w:t>
      </w:r>
    </w:p>
    <w:p w14:paraId="343FB3D3"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TTP</w:t>
      </w:r>
      <w:r w:rsidRPr="00D40908">
        <w:rPr>
          <w:rFonts w:ascii="Times New Roman" w:hAnsi="Times New Roman" w:cs="Times New Roman"/>
        </w:rPr>
        <w:tab/>
      </w:r>
      <w:r w:rsidRPr="00D40908">
        <w:rPr>
          <w:rFonts w:ascii="Times New Roman" w:hAnsi="Times New Roman" w:cs="Times New Roman"/>
        </w:rPr>
        <w:tab/>
        <w:t>time to peak</w:t>
      </w:r>
    </w:p>
    <w:p w14:paraId="0AE26665"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WI</w:t>
      </w:r>
      <w:r w:rsidRPr="00D40908">
        <w:rPr>
          <w:rFonts w:ascii="Times New Roman" w:hAnsi="Times New Roman" w:cs="Times New Roman"/>
        </w:rPr>
        <w:tab/>
      </w:r>
      <w:r w:rsidRPr="00D40908">
        <w:rPr>
          <w:rFonts w:ascii="Times New Roman" w:hAnsi="Times New Roman" w:cs="Times New Roman"/>
        </w:rPr>
        <w:tab/>
        <w:t>wash in</w:t>
      </w:r>
    </w:p>
    <w:p w14:paraId="2A7EE1C5" w14:textId="77777777" w:rsidR="000812F9" w:rsidRPr="00D40908" w:rsidRDefault="000812F9" w:rsidP="000812F9">
      <w:pPr>
        <w:pStyle w:val="Fotnotstext"/>
        <w:rPr>
          <w:rFonts w:ascii="Times New Roman" w:hAnsi="Times New Roman" w:cs="Times New Roman"/>
        </w:rPr>
      </w:pPr>
      <w:r w:rsidRPr="00D40908">
        <w:rPr>
          <w:rFonts w:ascii="Times New Roman" w:hAnsi="Times New Roman" w:cs="Times New Roman"/>
        </w:rPr>
        <w:t>WO</w:t>
      </w:r>
      <w:r w:rsidRPr="00D40908">
        <w:rPr>
          <w:rFonts w:ascii="Times New Roman" w:hAnsi="Times New Roman" w:cs="Times New Roman"/>
        </w:rPr>
        <w:tab/>
      </w:r>
      <w:r w:rsidRPr="00D40908">
        <w:rPr>
          <w:rFonts w:ascii="Times New Roman" w:hAnsi="Times New Roman" w:cs="Times New Roman"/>
        </w:rPr>
        <w:tab/>
        <w:t>wash out</w:t>
      </w:r>
    </w:p>
    <w:p w14:paraId="60A81B6E" w14:textId="77777777" w:rsidR="00B42099" w:rsidRDefault="00B42099" w:rsidP="001B0EE4">
      <w:pPr>
        <w:pStyle w:val="Rubrik1"/>
      </w:pPr>
    </w:p>
    <w:p w14:paraId="2C313523" w14:textId="77777777" w:rsidR="001B0EE4" w:rsidRPr="00786C42" w:rsidRDefault="001B0EE4" w:rsidP="001B0EE4">
      <w:pPr>
        <w:pStyle w:val="Rubrik1"/>
      </w:pPr>
      <w:r w:rsidRPr="00786C42">
        <w:t>Abstract</w:t>
      </w:r>
      <w:r>
        <w:t xml:space="preserve"> </w:t>
      </w:r>
    </w:p>
    <w:p w14:paraId="76D041F3" w14:textId="77777777" w:rsidR="001B0EE4" w:rsidRDefault="001B0EE4" w:rsidP="001B0EE4">
      <w:pPr>
        <w:autoSpaceDE w:val="0"/>
        <w:autoSpaceDN w:val="0"/>
        <w:adjustRightInd w:val="0"/>
        <w:spacing w:after="0" w:line="240" w:lineRule="auto"/>
        <w:rPr>
          <w:rFonts w:ascii="Verdana" w:hAnsi="Verdana" w:cs="Verdana"/>
          <w:sz w:val="20"/>
          <w:szCs w:val="20"/>
        </w:rPr>
      </w:pPr>
    </w:p>
    <w:p w14:paraId="2E7EF6FF" w14:textId="77777777" w:rsidR="001B0EE4" w:rsidRPr="001C3E51" w:rsidRDefault="001B0EE4" w:rsidP="001B0EE4">
      <w:pPr>
        <w:jc w:val="both"/>
        <w:rPr>
          <w:rFonts w:ascii="Times New Roman" w:hAnsi="Times New Roman" w:cs="Times New Roman"/>
        </w:rPr>
      </w:pPr>
      <w:r w:rsidRPr="001C3E51">
        <w:rPr>
          <w:rFonts w:ascii="Times New Roman" w:hAnsi="Times New Roman" w:cs="Times New Roman"/>
        </w:rPr>
        <w:t>Early non-invasive tumour therapy response assessment requires methods sensitive to biological and physiological tumour characteristics.</w:t>
      </w:r>
    </w:p>
    <w:p w14:paraId="57D667E2" w14:textId="77777777" w:rsidR="001B0EE4" w:rsidRPr="001C3E51" w:rsidRDefault="001B0EE4" w:rsidP="001B0EE4">
      <w:pPr>
        <w:jc w:val="both"/>
        <w:rPr>
          <w:rFonts w:ascii="Times New Roman" w:hAnsi="Times New Roman" w:cs="Times New Roman"/>
        </w:rPr>
      </w:pPr>
      <w:r w:rsidRPr="001C3E51">
        <w:rPr>
          <w:rFonts w:ascii="Times New Roman" w:hAnsi="Times New Roman" w:cs="Times New Roman"/>
        </w:rPr>
        <w:t>The aim of this study was to find and evaluate magnetic resonance imaging (MRI) derived tumour tissue parameters that correlate with histological parameters relevant to</w:t>
      </w:r>
      <w:r>
        <w:rPr>
          <w:rFonts w:ascii="Times New Roman" w:hAnsi="Times New Roman" w:cs="Times New Roman"/>
        </w:rPr>
        <w:t xml:space="preserve"> effects of</w:t>
      </w:r>
      <w:r w:rsidRPr="001C3E51">
        <w:rPr>
          <w:rFonts w:ascii="Times New Roman" w:hAnsi="Times New Roman" w:cs="Times New Roman"/>
        </w:rPr>
        <w:t xml:space="preserve"> radionuclide therapy.</w:t>
      </w:r>
    </w:p>
    <w:p w14:paraId="575C1B5F" w14:textId="22C16E9A" w:rsidR="001B0EE4" w:rsidRPr="001C3E51" w:rsidRDefault="001B0EE4" w:rsidP="001B0EE4">
      <w:pPr>
        <w:jc w:val="both"/>
        <w:rPr>
          <w:rFonts w:ascii="Times New Roman" w:hAnsi="Times New Roman" w:cs="Times New Roman"/>
        </w:rPr>
      </w:pPr>
      <w:r w:rsidRPr="00230E76">
        <w:rPr>
          <w:rFonts w:ascii="Times New Roman" w:hAnsi="Times New Roman" w:cs="Times New Roman"/>
        </w:rPr>
        <w:t xml:space="preserve">Mice </w:t>
      </w:r>
      <w:r w:rsidRPr="001C3E51">
        <w:rPr>
          <w:rFonts w:ascii="Times New Roman" w:hAnsi="Times New Roman" w:cs="Times New Roman"/>
        </w:rPr>
        <w:t xml:space="preserve">with subcutaneous, human small intestine neuroendocrine tumour were </w:t>
      </w:r>
      <w:r w:rsidRPr="001C3E51">
        <w:rPr>
          <w:rFonts w:ascii="Times New Roman" w:hAnsi="Times New Roman" w:cs="Times New Roman"/>
          <w:i/>
        </w:rPr>
        <w:t>i.v</w:t>
      </w:r>
      <w:r w:rsidRPr="001C3E51">
        <w:rPr>
          <w:rFonts w:ascii="Times New Roman" w:hAnsi="Times New Roman" w:cs="Times New Roman"/>
        </w:rPr>
        <w:t xml:space="preserve">. injected with </w:t>
      </w:r>
      <w:r w:rsidRPr="001C3E51">
        <w:rPr>
          <w:rFonts w:ascii="Times New Roman" w:hAnsi="Times New Roman" w:cs="Times New Roman"/>
          <w:vertAlign w:val="superscript"/>
        </w:rPr>
        <w:t>177</w:t>
      </w:r>
      <w:r w:rsidRPr="001C3E51">
        <w:rPr>
          <w:rFonts w:ascii="Times New Roman" w:hAnsi="Times New Roman" w:cs="Times New Roman"/>
        </w:rPr>
        <w:t>Lu-octreotate. MRI was perf</w:t>
      </w:r>
      <w:r>
        <w:rPr>
          <w:rFonts w:ascii="Times New Roman" w:hAnsi="Times New Roman" w:cs="Times New Roman"/>
        </w:rPr>
        <w:t>ormed</w:t>
      </w:r>
      <w:r w:rsidRPr="001C3E51">
        <w:rPr>
          <w:rFonts w:ascii="Times New Roman" w:hAnsi="Times New Roman" w:cs="Times New Roman"/>
        </w:rPr>
        <w:t xml:space="preserve"> (7T Bruker Biospec) on different post-therapy intervals (1</w:t>
      </w:r>
      <w:r w:rsidR="00A8595D">
        <w:rPr>
          <w:rFonts w:ascii="Times New Roman" w:hAnsi="Times New Roman" w:cs="Times New Roman"/>
        </w:rPr>
        <w:t xml:space="preserve"> and </w:t>
      </w:r>
      <w:r w:rsidRPr="001C3E51">
        <w:rPr>
          <w:rFonts w:ascii="Times New Roman" w:hAnsi="Times New Roman" w:cs="Times New Roman"/>
        </w:rPr>
        <w:t xml:space="preserve">13 days) using T2 weighted, T2* and T1 mapping, diffusion and dynamic contrast enhancement (DCE-MRI) techniques. After MRI, animals were killed and tumours excised. Four differently stained histological sections of the most central imaged tumour plane were digitised and segmentation techniques were used to produce </w:t>
      </w:r>
      <w:r w:rsidRPr="001C3E51">
        <w:rPr>
          <w:rFonts w:ascii="Times New Roman" w:eastAsia="Times New Roman" w:hAnsi="Times New Roman" w:cs="Times New Roman"/>
        </w:rPr>
        <w:t>maps reflecting fibrotic and vascular density, apoptosis and proliferation</w:t>
      </w:r>
      <w:r w:rsidRPr="001C3E51">
        <w:rPr>
          <w:rFonts w:ascii="Times New Roman" w:hAnsi="Times New Roman" w:cs="Times New Roman"/>
        </w:rPr>
        <w:t>. Histological maps were aligned with MRI derived parametric maps using l</w:t>
      </w:r>
      <w:r w:rsidRPr="001C3E51">
        <w:rPr>
          <w:rFonts w:ascii="Times New Roman" w:eastAsia="Times New Roman" w:hAnsi="Times New Roman" w:cs="Times New Roman"/>
        </w:rPr>
        <w:t>andmark-based registration</w:t>
      </w:r>
      <w:r w:rsidRPr="001C3E51">
        <w:rPr>
          <w:rFonts w:ascii="Times New Roman" w:hAnsi="Times New Roman" w:cs="Times New Roman"/>
        </w:rPr>
        <w:t xml:space="preserve"> and </w:t>
      </w:r>
      <w:r w:rsidRPr="001C3E51">
        <w:rPr>
          <w:rFonts w:ascii="Times New Roman" w:eastAsia="Times New Roman" w:hAnsi="Times New Roman" w:cs="Times New Roman"/>
        </w:rPr>
        <w:t>correlations and predictive power were evaluated using linear mixed-effects models and cross-validation, respectively</w:t>
      </w:r>
      <w:r w:rsidRPr="001C3E51">
        <w:rPr>
          <w:rFonts w:ascii="Times New Roman" w:hAnsi="Times New Roman" w:cs="Times New Roman"/>
        </w:rPr>
        <w:t>.</w:t>
      </w:r>
    </w:p>
    <w:p w14:paraId="0392F64A" w14:textId="77777777" w:rsidR="001B0EE4" w:rsidRPr="001C3E51" w:rsidRDefault="001B0EE4" w:rsidP="001B0EE4">
      <w:pPr>
        <w:jc w:val="both"/>
        <w:rPr>
          <w:rFonts w:ascii="Times New Roman" w:hAnsi="Times New Roman" w:cs="Times New Roman"/>
        </w:rPr>
      </w:pPr>
      <w:r w:rsidRPr="001C3E51">
        <w:rPr>
          <w:rFonts w:ascii="Times New Roman" w:hAnsi="Times New Roman" w:cs="Times New Roman"/>
        </w:rPr>
        <w:t xml:space="preserve">Several MR parameters showed statistically significant correlations with histological parameters, whereof three DCE-MRI derived parameters reflecting capillary function also showed high predictive power regarding apoptosis and one regarding proliferation. </w:t>
      </w:r>
      <w:r w:rsidRPr="001C3E51">
        <w:rPr>
          <w:rFonts w:ascii="Times New Roman" w:hAnsi="Times New Roman" w:cs="Times New Roman"/>
          <w:i/>
        </w:rPr>
        <w:t>T1</w:t>
      </w:r>
      <w:r w:rsidRPr="001C3E51">
        <w:rPr>
          <w:rFonts w:ascii="Times New Roman" w:hAnsi="Times New Roman" w:cs="Times New Roman"/>
        </w:rPr>
        <w:t xml:space="preserve"> could be used to predict vascular density, and perfusion fraction derived from diffusion MRI could predict fibrotic density, although with lower predictive power.</w:t>
      </w:r>
    </w:p>
    <w:p w14:paraId="37FF2224" w14:textId="77777777" w:rsidR="001B0EE4" w:rsidRPr="001C3E51" w:rsidRDefault="001B0EE4" w:rsidP="001B0EE4">
      <w:pPr>
        <w:jc w:val="both"/>
        <w:rPr>
          <w:rFonts w:ascii="Times New Roman" w:hAnsi="Times New Roman" w:cs="Times New Roman"/>
        </w:rPr>
      </w:pPr>
      <w:r w:rsidRPr="001C3E51">
        <w:rPr>
          <w:rFonts w:ascii="Times New Roman" w:hAnsi="Times New Roman" w:cs="Times New Roman"/>
        </w:rPr>
        <w:t>This work demonstrates the potential to use multiparametric MRI to retrieve important information on the tumour microenvironment after radiotherapy. The non-invasiveness of the method also allows longitudinal tumour tissue characterisation. The parameters found important in this study should be evaluated longitudinally, in larger studies and with additional histological methods.</w:t>
      </w:r>
    </w:p>
    <w:p w14:paraId="51CD8DD4" w14:textId="77777777" w:rsidR="001B0EE4" w:rsidRDefault="001B0EE4" w:rsidP="00AE0186">
      <w:pPr>
        <w:pStyle w:val="Rubrik1"/>
        <w:rPr>
          <w:rFonts w:ascii="Times New Roman" w:hAnsi="Times New Roman" w:cs="Times New Roman"/>
        </w:rPr>
      </w:pPr>
    </w:p>
    <w:p w14:paraId="55C6D42F"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Introduction</w:t>
      </w:r>
    </w:p>
    <w:p w14:paraId="47C6E491" w14:textId="77777777" w:rsidR="00AE0186" w:rsidRPr="00AE0186" w:rsidRDefault="00AE0186" w:rsidP="00AE0186">
      <w:pPr>
        <w:spacing w:line="240" w:lineRule="auto"/>
        <w:jc w:val="both"/>
        <w:rPr>
          <w:rFonts w:ascii="Times New Roman" w:hAnsi="Times New Roman" w:cs="Times New Roman"/>
        </w:rPr>
      </w:pPr>
    </w:p>
    <w:p w14:paraId="15A11760" w14:textId="46F37FE1" w:rsidR="00591C33" w:rsidRDefault="00591C33" w:rsidP="00AE0186">
      <w:pPr>
        <w:spacing w:line="240" w:lineRule="auto"/>
        <w:jc w:val="both"/>
        <w:rPr>
          <w:rFonts w:ascii="Times New Roman" w:hAnsi="Times New Roman" w:cs="Times New Roman"/>
        </w:rPr>
      </w:pPr>
      <w:r w:rsidRPr="00AE0186">
        <w:rPr>
          <w:rFonts w:ascii="Times New Roman" w:hAnsi="Times New Roman" w:cs="Times New Roman"/>
        </w:rPr>
        <w:t xml:space="preserve">Neuroendocrine tumours (NETs) are slow growing malignancies that often present metastases at diagnosis, and where current treatment options have limited effect on patient survival. </w:t>
      </w:r>
      <w:r>
        <w:rPr>
          <w:rFonts w:ascii="Times New Roman" w:hAnsi="Times New Roman" w:cs="Times New Roman"/>
        </w:rPr>
        <w:t>T</w:t>
      </w:r>
      <w:r w:rsidRPr="00AE0186">
        <w:rPr>
          <w:rFonts w:ascii="Times New Roman" w:hAnsi="Times New Roman" w:cs="Times New Roman"/>
        </w:rPr>
        <w:t>herapeutic options are being developed, such as</w:t>
      </w:r>
      <w:r>
        <w:rPr>
          <w:rFonts w:ascii="Times New Roman" w:hAnsi="Times New Roman" w:cs="Times New Roman"/>
        </w:rPr>
        <w:t xml:space="preserve"> radionuclide therapy (</w:t>
      </w:r>
      <w:r w:rsidRPr="00AE0186">
        <w:rPr>
          <w:rFonts w:ascii="Times New Roman" w:hAnsi="Times New Roman" w:cs="Times New Roman"/>
        </w:rPr>
        <w:t>RNT</w:t>
      </w:r>
      <w:r>
        <w:rPr>
          <w:rFonts w:ascii="Times New Roman" w:hAnsi="Times New Roman" w:cs="Times New Roman"/>
        </w:rPr>
        <w:t>)</w:t>
      </w:r>
      <w:r w:rsidRPr="00AE0186">
        <w:rPr>
          <w:rFonts w:ascii="Times New Roman" w:hAnsi="Times New Roman" w:cs="Times New Roman"/>
        </w:rPr>
        <w:t xml:space="preserve"> using</w:t>
      </w:r>
      <w:r>
        <w:rPr>
          <w:rFonts w:ascii="Times New Roman" w:hAnsi="Times New Roman" w:cs="Times New Roman"/>
        </w:rPr>
        <w:t xml:space="preserve"> radiolabelled somatostatin analogue octreotate</w:t>
      </w:r>
      <w:r w:rsidRPr="00AE0186">
        <w:rPr>
          <w:rFonts w:ascii="Times New Roman" w:hAnsi="Times New Roman" w:cs="Times New Roman"/>
        </w:rPr>
        <w:t xml:space="preserve"> </w:t>
      </w:r>
      <w:r>
        <w:rPr>
          <w:rFonts w:ascii="Times New Roman" w:hAnsi="Times New Roman" w:cs="Times New Roman"/>
        </w:rPr>
        <w:t>(</w:t>
      </w:r>
      <w:r w:rsidRPr="00AE0186">
        <w:rPr>
          <w:rFonts w:ascii="Times New Roman" w:hAnsi="Times New Roman" w:cs="Times New Roman"/>
          <w:vertAlign w:val="superscript"/>
        </w:rPr>
        <w:t>177</w:t>
      </w:r>
      <w:r w:rsidRPr="00AE0186">
        <w:rPr>
          <w:rFonts w:ascii="Times New Roman" w:hAnsi="Times New Roman" w:cs="Times New Roman"/>
        </w:rPr>
        <w:t>Lu-octreotate</w:t>
      </w:r>
      <w:r>
        <w:rPr>
          <w:rFonts w:ascii="Times New Roman" w:hAnsi="Times New Roman" w:cs="Times New Roman"/>
        </w:rPr>
        <w:t>)</w:t>
      </w:r>
      <w:r w:rsidR="00914C70">
        <w:rPr>
          <w:rFonts w:ascii="Times New Roman" w:hAnsi="Times New Roman" w:cs="Times New Roman"/>
        </w:rPr>
        <w:t>, which bind to receptors expressed on tumour cells and thereby maximize radiation dose to primary and metastatic tumours, with limited radiation exposure to healthy tissue</w:t>
      </w:r>
      <w:r>
        <w:rPr>
          <w:rFonts w:ascii="Times New Roman" w:hAnsi="Times New Roman" w:cs="Times New Roman"/>
        </w:rPr>
        <w:t>.</w:t>
      </w:r>
      <w:r w:rsidRPr="00AE0186">
        <w:rPr>
          <w:rFonts w:ascii="Times New Roman" w:hAnsi="Times New Roman" w:cs="Times New Roman"/>
        </w:rPr>
        <w:t xml:space="preserve"> </w:t>
      </w:r>
      <w:r w:rsidRPr="00AE0186">
        <w:rPr>
          <w:rFonts w:ascii="Times New Roman" w:hAnsi="Times New Roman" w:cs="Times New Roman"/>
          <w:vertAlign w:val="superscript"/>
        </w:rPr>
        <w:t>177</w:t>
      </w:r>
      <w:r w:rsidRPr="00AE0186">
        <w:rPr>
          <w:rFonts w:ascii="Times New Roman" w:hAnsi="Times New Roman" w:cs="Times New Roman"/>
        </w:rPr>
        <w:t xml:space="preserve">Lu-octreotate </w:t>
      </w:r>
      <w:r>
        <w:rPr>
          <w:rFonts w:ascii="Times New Roman" w:hAnsi="Times New Roman" w:cs="Times New Roman"/>
        </w:rPr>
        <w:t>shows</w:t>
      </w:r>
      <w:r w:rsidRPr="00AE0186">
        <w:rPr>
          <w:rFonts w:ascii="Times New Roman" w:hAnsi="Times New Roman" w:cs="Times New Roman"/>
        </w:rPr>
        <w:t xml:space="preserve"> great potential for treatment of NETs</w:t>
      </w:r>
      <w:r>
        <w:rPr>
          <w:rFonts w:ascii="Times New Roman" w:hAnsi="Times New Roman" w:cs="Times New Roman"/>
        </w:rPr>
        <w:t xml:space="preserve">, but </w:t>
      </w:r>
      <w:r w:rsidRPr="00AE0186">
        <w:rPr>
          <w:rFonts w:ascii="Times New Roman" w:hAnsi="Times New Roman" w:cs="Times New Roman"/>
        </w:rPr>
        <w:t xml:space="preserve">optimization </w:t>
      </w:r>
      <w:r>
        <w:rPr>
          <w:rFonts w:ascii="Times New Roman" w:hAnsi="Times New Roman" w:cs="Times New Roman"/>
        </w:rPr>
        <w:t xml:space="preserve">is </w:t>
      </w:r>
      <w:r w:rsidRPr="00AE0186">
        <w:rPr>
          <w:rFonts w:ascii="Times New Roman" w:hAnsi="Times New Roman" w:cs="Times New Roman"/>
        </w:rPr>
        <w:t>required</w:t>
      </w:r>
      <w:r>
        <w:rPr>
          <w:rFonts w:ascii="Times New Roman" w:hAnsi="Times New Roman" w:cs="Times New Roman"/>
        </w:rPr>
        <w:t xml:space="preserve">, and </w:t>
      </w:r>
      <w:r w:rsidRPr="00AE0186">
        <w:rPr>
          <w:rFonts w:ascii="Times New Roman" w:hAnsi="Times New Roman" w:cs="Times New Roman"/>
        </w:rPr>
        <w:t>reliable, non-invasive method</w:t>
      </w:r>
      <w:r>
        <w:rPr>
          <w:rFonts w:ascii="Times New Roman" w:hAnsi="Times New Roman" w:cs="Times New Roman"/>
        </w:rPr>
        <w:t xml:space="preserve">s </w:t>
      </w:r>
      <w:r w:rsidRPr="00AE0186">
        <w:rPr>
          <w:rFonts w:ascii="Times New Roman" w:hAnsi="Times New Roman" w:cs="Times New Roman"/>
        </w:rPr>
        <w:t xml:space="preserve">for prediction and assessment of therapeutic effects </w:t>
      </w:r>
      <w:r>
        <w:rPr>
          <w:rFonts w:ascii="Times New Roman" w:hAnsi="Times New Roman" w:cs="Times New Roman"/>
        </w:rPr>
        <w:t>are needed.</w:t>
      </w:r>
    </w:p>
    <w:p w14:paraId="343B722E" w14:textId="6AC5A4C8"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Tumour size </w:t>
      </w:r>
      <w:r w:rsidR="003B4275">
        <w:rPr>
          <w:rFonts w:ascii="Times New Roman" w:hAnsi="Times New Roman" w:cs="Times New Roman"/>
        </w:rPr>
        <w:t xml:space="preserve">can be accurately determined using radiological methods, such as </w:t>
      </w:r>
      <w:r w:rsidR="00914C70">
        <w:rPr>
          <w:rFonts w:ascii="Times New Roman" w:hAnsi="Times New Roman" w:cs="Times New Roman"/>
        </w:rPr>
        <w:t xml:space="preserve">imaging based on </w:t>
      </w:r>
      <w:r w:rsidR="003B4275">
        <w:rPr>
          <w:rFonts w:ascii="Times New Roman" w:hAnsi="Times New Roman" w:cs="Times New Roman"/>
        </w:rPr>
        <w:t>computed tomography (CT) or magnetic resonance (MR), but</w:t>
      </w:r>
      <w:r w:rsidR="00C47421">
        <w:rPr>
          <w:rFonts w:ascii="Times New Roman" w:hAnsi="Times New Roman" w:cs="Times New Roman"/>
        </w:rPr>
        <w:t xml:space="preserve"> tumour</w:t>
      </w:r>
      <w:r w:rsidR="003B4275">
        <w:rPr>
          <w:rFonts w:ascii="Times New Roman" w:hAnsi="Times New Roman" w:cs="Times New Roman"/>
        </w:rPr>
        <w:t xml:space="preserve"> size </w:t>
      </w:r>
      <w:r w:rsidRPr="00AE0186">
        <w:rPr>
          <w:rFonts w:ascii="Times New Roman" w:hAnsi="Times New Roman" w:cs="Times New Roman"/>
        </w:rPr>
        <w:t xml:space="preserve">becomes an obsolete or incomplete response endpoint in evaluations of modern, targeted therapies, and methods sensitive to the targeted biological processes, such as angiogenesis, proliferation and apoptosis are thus </w:t>
      </w:r>
      <w:r w:rsidR="00914C70">
        <w:rPr>
          <w:rFonts w:ascii="Times New Roman" w:hAnsi="Times New Roman" w:cs="Times New Roman"/>
        </w:rPr>
        <w:br/>
      </w:r>
      <w:r w:rsidRPr="00AE0186">
        <w:rPr>
          <w:rFonts w:ascii="Times New Roman" w:hAnsi="Times New Roman" w:cs="Times New Roman"/>
        </w:rPr>
        <w:t>required</w:t>
      </w:r>
      <w:r w:rsidR="00067D62">
        <w:rPr>
          <w:rFonts w:ascii="Times New Roman" w:hAnsi="Times New Roman" w:cs="Times New Roman"/>
        </w:rPr>
        <w:t xml:space="preserve"> </w:t>
      </w:r>
      <w:r w:rsidR="00067D62">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{"citationItems":[{"id":"ITEM-1","itemData":{"DOI":"10.1148/rg.317115108","ISBN":"0271-5333","ISSN":"0271-5333","PMID":"22084189","abstract":"Targeted therapies are designed to interfere with specific aberrant biologic pathways involved in tumor development. The main classes of novel oncologic drugs include antiangiogenic drugs, antivascular agents, drugs interfering with EGFR-HER2 or KIT receptors, inhibitors of the PI3K/Akt/mTOR pathway, and hormonal therapies. Cancer cells usurp normal signal transduction pathways used by growth factors to stimulate proliferation and sustain viability. The interaction of growth factors with their receptors activates different intracellular pathways affecting key tumor biologic processes such as neoangiogenesis, tumor metabolism, and tumor proliferation. The response of tumors to anticancer therapy can be evaluated with anatomic response assessment, qualitative response assessment, and response assessment with functional and molecular imaging. Angiogenesis can be measured by means of perfusion imaging with computed tomography and magnetic resonance (MR) imaging. Diffusion-weighted MR imaging allows imaging evaluation of tumor cellularity. The main imaging techniques for studying tumor metabolism in vivo are positron emission tomography and MR spectroscopy. Familiarity with imaging findings secondary to tumor response to targeted therapies may help the radiologist better assist the clinician in accurate evaluation of tumor response to these anticancer treatments. Functional and molecular imaging techniques may provide valuable data and augment conventional assessment of tumor response to targeted therapies. Supplemental material available at http://radiographics.rsna.org/lookup/suppl/doi:10.1148/rg.317115108/-/DC1.","author":[{"dropping-particle":"","family":"Figueiras","given":"Roberto García","non-dropping-particle":"","parse-names":false,"suffix":""},{"dropping-particle":"","family":"Padhani","given":"Anwar R.","non-dropping-particle":"","parse-names":false,"suffix":""},{"dropping-particle":"","family":"Goh","given":"Vicky J.","non-dropping-particle":"","parse-names":false,"suffix":""},{"dropping-particle":"","family":"Vilanova","given":"Joan C.","non-dropping-particle":"","parse-names":false,"suffix":""},{"dropping-particle":"","family":"Gonzalez","given":"S. B.","non-dropping-particle":"","parse-names":false,"suffix":""},{"dropping-particle":"V.","family":"Martin","given":"C.","non-dropping-particle":"","parse-names":false,"suffix":""},{"dropping-particle":"","family":"Caamano","given":"a. G.","non-dropping-particle":"","parse-names":false,"suffix":""},{"dropping-particle":"","family":"Naveira","given":"Anaberta Bermúdez","non-dropping-particle":"","parse-names":false,"suffix":""},{"dropping-particle":"","family":"Choyke","given":"Peter L.","non-dropping-particle":"","parse-names":false,"suffix":""}],"container-title":"Radiographics","id":"ITEM-1","issue":"7","issued":{"date-parts":[["2011"]]},"page":"2059-2091","title":"Novel Oncologic Drugs: What They Do and How They Affect Images","type":"article-journal","volume":"31"},"uris":["http://www.mendeley.com/documents/?uuid=f607ba6d-2282-4fb8-a0a6-dc677103567e"]},{"id":"ITEM-2","itemData":{"DOI":"10.1016/j.ejca.2008.10.026","ISBN":"0959-8049","ISSN":"09598049","PMID":"19097774","abstract":"Background: Assessment of the change in tumour burden is an important feature of the clinical evaluation of cancer therapeutics: both tumour shrinkage (objective response) and disease progression are useful endpoints in clinical trials. Since RECIST was published in 2000, many investigators, cooperative groups, industry and government authorities have adopted these criteria in the assessment of treatment outcomes. However, a number of questions and issues have arisen which have led to the development of a revised RECIST guideline (version 1.1). Evidence for changes, summarised in separate papers in this special issue, has come from assessment of a large data warehouse (&gt;6500 patients), simulation studies and literature reviews. Highlights of revised RECIST 1.1: Major changes include: Number of lesions to be assessed: based on evidence from numerous trial databases merged into a data warehouse for analysis purposes, the number of lesions required to assess tumour burden for response determination has been reduced from a maximum of 10 to a maximum of five total (and from five to two per organ, maximum). Assessment of pathological lymph nodes is now incorporated: nodes with a short axis of ≥15 mm are considered measurable and assessable as target lesions. The short axis measurement should be included in the sum of lesions in calculation of tumour response. Nodes that shrink to &lt;10 mm short axis are considered normal. Confirmation of response is required for trials with response primary endpoint but is no longer required in randomised studies since the control arm serves as appropriate means of interpretation of data. Disease progression is clarified in several aspects: in addition to the previous definition of progression in target disease of 20% increase in sum, a 5 mm absolute increase is now required as well to guard against over calling PD when the total sum is very small. Furthermore, there is guidance offered on what constitutes 'unequivocal progression' of non-measurable/non-target disease, a source of confusion in the original RECIST guideline. Finally, a section on detection of new lesions, including the interpretation of FDG-PET scan assessment is included. Imaging guidance: the revised RECIST includes a new imaging appendix with updated recommendations on the optimal anatomical assessment of lesions. Future work: A key question considered by the RECIST Working Group in developing RECIST 1.1 was whether it was appropriate to move from anatomic un…","author":[{"dropping-particle":"","family":"Eisenhauer","given":"E. A.","non-dropping-particle":"","parse-names":false,"suffix":""},{"dropping-particle":"","family":"Therasse","given":"P.","non-dropping-particle":"","parse-names":false,"suffix":""},{"dropping-particle":"","family":"Bogaerts","given":"J.","non-dropping-particle":"","parse-names":false,"suffix":""},{"dropping-particle":"","family":"Schwartz","given":"L. H.","non-dropping-particle":"","parse-names":false,"suffix":""},{"dropping-particle":"","family":"Sargent","given":"D.","non-dropping-particle":"","parse-names":false,"suffix":""},{"dropping-particle":"","family":"Ford","given":"R.","non-dropping-particle":"","parse-names":false,"suffix":""},{"dropping-particle":"","family":"Dancey","given":"J.","non-dropping-particle":"","parse-names":false,"suffix":""},{"dropping-particle":"","family":"Arbuck","given":"S.","non-dropping-particle":"","parse-names":false,"suffix":""},{"dropping-particle":"","family":"Gwyther","given":"S.","non-dropping-particle":"","parse-names":false,"suffix":""},{"dropping-particle":"","family":"Mooney","given":"M.","non-dropping-particle":"","parse-names":false,"suffix":""},{"dropping-particle":"","family":"Rubinstein","given":"L.","non-dropping-particle":"","parse-names":false,"suffix":""},{"dropping-particle":"","family":"Shankar","given":"L.","non-dropping-particle":"","parse-names":false,"suffix":""},{"dropping-particle":"","family":"Dodd","given":"L.","non-dropping-particle":"","parse-names":false,"suffix":""},{"dropping-particle":"","family":"Kaplan","given":"R.","non-dropping-particle":"","parse-names":false,"suffix":""},{"dropping-particle":"","family":"Lacombe","given":"D.","non-dropping-particle":"","parse-names":false,"suffix":""},{"dropping-particle":"","family":"Verweij","given":"J.","non-dropping-particle":"","parse-names":false,"suffix":""}],"container-title":"European Journal of Cancer","id":"ITEM-2","issue":"2","issued":{"date-parts":[["2009"]]},"page":"228-247","publisher":"Elsevier Ltd","title":"New response evaluation criteria in solid tumours: Revised RECIST guideline (version 1.1)","type":"article-journal","volume":"45"},"uris":["http://www.mendeley.com/documents/?uuid=83be09f0-510b-48b3-9224-2b9cbc1b5140"]},{"id":"ITEM-3","itemData":{"author":[{"dropping-particle":"","family":"Therasse","given":"Patrick","non-dropping-particle":"","parse-names":false,"suffix":""},{"dropping-particle":"","family":"Arbuck","given":"Susan G","non-dropping-particle":"","parse-names":false,"suffix":""},{"dropping-particle":"","family":"Eisenhauer","given":"Elizabeth A","non-dropping-particle":"","parse-names":false,"suffix":""},{"dropping-particle":"","family":"Wanders","given":"Jantien","non-dropping-particle":"","parse-names":false,"suffix":""},{"dropping-particle":"","family":"Kaplan","given":"Richard S","non-dropping-particle":"","parse-names":false,"suffix":""},{"dropping-particle":"","family":"Rubinstein","given":"Larry","non-dropping-particle":"","parse-names":false,"suffix":""},{"dropping-particle":"","family":"Verweij","given":"Jaap","non-dropping-particle":"","parse-names":false,"suffix":""},{"dropping-particle":"Van","family":"Glabbeke","given":"Martine","non-dropping-particle":"","parse-names":false,"suffix":""},{"dropping-particle":"Van","family":"Oosterom","given":"T","non-dropping-particle":"","parse-names":false,"suffix":""},{"dropping-particle":"","family":"Christian","given":"Michaele C","non-dropping-particle":"","parse-names":false,"suffix":""},{"dropping-particle":"","family":"Gwyther","given":"Steve G","non-dropping-particle":"","parse-names":false,"suffix":""}],"container-title":"Clinical Trials","id":"ITEM-3","issue":"3","issued":{"date-parts":[["2005"]]},"page":"16-27","title":"New Guidelines to Evaluate the Response to Treatment in Solid Tumors","type":"article-journal","volume":"12"},"uris":["http://www.mendeley.com/documents/?uuid=7e2e44d5-3d12-49d4-9836-7daae7156daa"]}],"mendeley":{"formattedCitation":"&lt;sup&gt;1–3&lt;/sup&gt;","plainTextFormattedCitation":"1–3","previouslyFormattedCitation":"&lt;sup&gt;1–3&lt;/sup&gt;"},"properties":{"noteIndex":0},"schema":"https://github.com/citation-style-language/schema/raw/master/csl-citation.json"}</w:instrText>
      </w:r>
      <w:r w:rsidR="00067D62">
        <w:rPr>
          <w:rFonts w:ascii="Times New Roman" w:hAnsi="Times New Roman" w:cs="Times New Roman"/>
        </w:rPr>
        <w:fldChar w:fldCharType="separate"/>
      </w:r>
      <w:r w:rsidR="00A17C25" w:rsidRPr="00A17C25">
        <w:rPr>
          <w:rFonts w:ascii="Times New Roman" w:hAnsi="Times New Roman" w:cs="Times New Roman"/>
          <w:noProof/>
          <w:vertAlign w:val="superscript"/>
        </w:rPr>
        <w:t>1–3</w:t>
      </w:r>
      <w:r w:rsidR="00067D62">
        <w:rPr>
          <w:rFonts w:ascii="Times New Roman" w:hAnsi="Times New Roman" w:cs="Times New Roman"/>
        </w:rPr>
        <w:fldChar w:fldCharType="end"/>
      </w:r>
      <w:r w:rsidR="00067D62">
        <w:rPr>
          <w:rFonts w:ascii="Times New Roman" w:hAnsi="Times New Roman" w:cs="Times New Roman"/>
        </w:rPr>
        <w:t>.</w:t>
      </w:r>
    </w:p>
    <w:p w14:paraId="3951CEF7" w14:textId="20B615BB" w:rsidR="007C2698"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Histological methods provide unambiguous characterization of </w:t>
      </w:r>
      <w:r w:rsidR="00B619EB">
        <w:rPr>
          <w:rFonts w:ascii="Times New Roman" w:hAnsi="Times New Roman" w:cs="Times New Roman"/>
        </w:rPr>
        <w:t xml:space="preserve">biological features of </w:t>
      </w:r>
      <w:r w:rsidRPr="00AE0186">
        <w:rPr>
          <w:rFonts w:ascii="Times New Roman" w:hAnsi="Times New Roman" w:cs="Times New Roman"/>
        </w:rPr>
        <w:t>tumours, but full tumour coverage does not allow longitudinal assessment, biopsies only provide information on the focally sampled tissue regions.</w:t>
      </w:r>
      <w:r w:rsidR="00914C70">
        <w:rPr>
          <w:rFonts w:ascii="Times New Roman" w:hAnsi="Times New Roman" w:cs="Times New Roman"/>
        </w:rPr>
        <w:t xml:space="preserve"> The limited coverage of biopsies, erroneous sampling and problematic anatomical locations of tumours are also limiting factors.</w:t>
      </w:r>
    </w:p>
    <w:p w14:paraId="470ACF3F" w14:textId="6A0AABBD" w:rsidR="007C2698" w:rsidRDefault="00AE0186" w:rsidP="00AE0186">
      <w:pPr>
        <w:spacing w:line="240" w:lineRule="auto"/>
        <w:jc w:val="both"/>
        <w:rPr>
          <w:rFonts w:ascii="Times New Roman" w:hAnsi="Times New Roman" w:cs="Times New Roman"/>
        </w:rPr>
      </w:pPr>
      <w:r w:rsidRPr="00AE0186">
        <w:rPr>
          <w:rFonts w:ascii="Times New Roman" w:hAnsi="Times New Roman" w:cs="Times New Roman"/>
        </w:rPr>
        <w:lastRenderedPageBreak/>
        <w:t xml:space="preserve">Several </w:t>
      </w:r>
      <w:r w:rsidR="0084198D">
        <w:rPr>
          <w:rFonts w:ascii="Times New Roman" w:hAnsi="Times New Roman" w:cs="Times New Roman"/>
        </w:rPr>
        <w:t xml:space="preserve">functional </w:t>
      </w:r>
      <w:r w:rsidRPr="00AE0186">
        <w:rPr>
          <w:rFonts w:ascii="Times New Roman" w:hAnsi="Times New Roman" w:cs="Times New Roman"/>
        </w:rPr>
        <w:t>MR</w:t>
      </w:r>
      <w:r w:rsidR="0084198D">
        <w:rPr>
          <w:rFonts w:ascii="Times New Roman" w:hAnsi="Times New Roman" w:cs="Times New Roman"/>
        </w:rPr>
        <w:t xml:space="preserve"> imaging</w:t>
      </w:r>
      <w:r w:rsidR="00C47421">
        <w:rPr>
          <w:rFonts w:ascii="Times New Roman" w:hAnsi="Times New Roman" w:cs="Times New Roman"/>
        </w:rPr>
        <w:t xml:space="preserve"> </w:t>
      </w:r>
      <w:r w:rsidRPr="00AE0186">
        <w:rPr>
          <w:rFonts w:ascii="Times New Roman" w:hAnsi="Times New Roman" w:cs="Times New Roman"/>
        </w:rPr>
        <w:t>methods</w:t>
      </w:r>
      <w:r w:rsidR="006A5349">
        <w:rPr>
          <w:rFonts w:ascii="Times New Roman" w:hAnsi="Times New Roman" w:cs="Times New Roman"/>
        </w:rPr>
        <w:t xml:space="preserve"> are </w:t>
      </w:r>
      <w:r w:rsidR="007C2698">
        <w:rPr>
          <w:rFonts w:ascii="Times New Roman" w:hAnsi="Times New Roman" w:cs="Times New Roman"/>
        </w:rPr>
        <w:t xml:space="preserve">currently </w:t>
      </w:r>
      <w:r w:rsidR="006A5349">
        <w:rPr>
          <w:rFonts w:ascii="Times New Roman" w:hAnsi="Times New Roman" w:cs="Times New Roman"/>
        </w:rPr>
        <w:t xml:space="preserve">being investigated as means to </w:t>
      </w:r>
      <w:r w:rsidR="007C2698">
        <w:rPr>
          <w:rFonts w:ascii="Times New Roman" w:hAnsi="Times New Roman" w:cs="Times New Roman"/>
        </w:rPr>
        <w:t>indirectly measure tumour characteristics</w:t>
      </w:r>
      <w:r w:rsidR="006A5349">
        <w:rPr>
          <w:rFonts w:ascii="Times New Roman" w:hAnsi="Times New Roman" w:cs="Times New Roman"/>
        </w:rPr>
        <w:t xml:space="preserve">, and </w:t>
      </w:r>
      <w:r w:rsidRPr="00AE0186">
        <w:rPr>
          <w:rFonts w:ascii="Times New Roman" w:hAnsi="Times New Roman" w:cs="Times New Roman"/>
        </w:rPr>
        <w:t>show promising results regarding early assessment of tumour response to RNT</w:t>
      </w:r>
      <w:r w:rsidR="00067D62">
        <w:rPr>
          <w:rFonts w:ascii="Times New Roman" w:hAnsi="Times New Roman" w:cs="Times New Roman"/>
        </w:rPr>
        <w:t xml:space="preserve"> </w:t>
      </w:r>
      <w:r w:rsidR="00067D62">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{"citationItems":[{"id":"ITEM-1","itemData":{"DOI":"10.1148/rg.317115108","ISBN":"0271-5333","ISSN":"0271-5333","PMID":"22084189","abstract":"Targeted therapies are designed to interfere with specific aberrant biologic pathways involved in tumor development. The main classes of novel oncologic drugs include antiangiogenic drugs, antivascular agents, drugs interfering with EGFR-HER2 or KIT receptors, inhibitors of the PI3K/Akt/mTOR pathway, and hormonal therapies. Cancer cells usurp normal signal transduction pathways used by growth factors to stimulate proliferation and sustain viability. The interaction of growth factors with their receptors activates different intracellular pathways affecting key tumor biologic processes such as neoangiogenesis, tumor metabolism, and tumor proliferation. The response of tumors to anticancer therapy can be evaluated with anatomic response assessment, qualitative response assessment, and response assessment with functional and molecular imaging. Angiogenesis can be measured by means of perfusion imaging with computed tomography and magnetic resonance (MR) imaging. Diffusion-weighted MR imaging allows imaging evaluation of tumor cellularity. The main imaging techniques for studying tumor metabolism in vivo are positron emission tomography and MR spectroscopy. Familiarity with imaging findings secondary to tumor response to targeted therapies may help the radiologist better assist the clinician in accurate evaluation of tumor response to these anticancer treatments. Functional and molecular imaging techniques may provide valuable data and augment conventional assessment of tumor response to targeted therapies. Supplemental material available at http://radiographics.rsna.org/lookup/suppl/doi:10.1148/rg.317115108/-/DC1.","author":[{"dropping-particle":"","family":"Figueiras","given":"Roberto García","non-dropping-particle":"","parse-names":false,"suffix":""},{"dropping-particle":"","family":"Padhani","given":"Anwar R.","non-dropping-particle":"","parse-names":false,"suffix":""},{"dropping-particle":"","family":"Goh","given":"Vicky J.","non-dropping-particle":"","parse-names":false,"suffix":""},{"dropping-particle":"","family":"Vilanova","given":"Joan C.","non-dropping-particle":"","parse-names":false,"suffix":""},{"dropping-particle":"","family":"Gonzalez","given":"S. B.","non-dropping-particle":"","parse-names":false,"suffix":""},{"dropping-particle":"V.","family":"Martin","given":"C.","non-dropping-particle":"","parse-names":false,"suffix":""},{"dropping-particle":"","family":"Caamano","given":"a. G.","non-dropping-particle":"","parse-names":false,"suffix":""},{"dropping-particle":"","family":"Naveira","given":"Anaberta Bermúdez","non-dropping-particle":"","parse-names":false,"suffix":""},{"dropping-particle":"","family":"Choyke","given":"Peter L.","non-dropping-particle":"","parse-names":false,"suffix":""}],"container-title":"Radiographics","id":"ITEM-1","issue":"7","issued":{"date-parts":[["2011"]]},"page":"2059-2091","title":"Novel Oncologic Drugs: What They Do and How They Affect Images","type":"article-journal","volume":"31"},"uris":["http://www.mendeley.com/documents/?uuid=f607ba6d-2282-4fb8-a0a6-dc677103567e"]},{"id":"ITEM-2","itemData":{"DOI":"10.1016/j.tranon.2017.12.003","ISSN":"19365233","abstract":"© 2017 The Authors Magnetic resonance (MR) methods enable noninvasive, regional tumor therapy response assessment, but associations between MR parameters, underlying biology, and therapeutic effects must be investigated. The aim of this study was to investigate response assessment efficacy and biological associations of MR parameters in a neuroendocrine tumor (NET) model subjected to radionuclide treatment. Twenty-one mice with NETs received 177 Lu-octreotate at day 0. MR experiments (day −1, 1, 3, 8, and 13) included T2-weighted, dynamic contrast-enhanced (DCE) and diffusion-weighted imaging (DWI) and relaxation measurements (T1/T2*). Tumor tissue was analyzed using proteomics. MR-derived parameters were evaluated for each examination day and for different radial distances from the tumor center. Response assessment efficacy and biological associations were evaluated using feature selection and protein expression correlations, respectively. Reduced tumor growth rate or shrinkage was observed until day 8, followed by reestablished growth in most tumors. The most important MR parameter for response prediction was DCE-MRI–derived pretreatment signal enhancement ratio (SER) at 40% to 60% radial distance, where it correlated significantly also with centrally sampled protein CCD89 (association: DNA damage and repair, proliferation, cell cycle arrest). The second most important was changed diffusion (D) between day −1 and day 3, at 60% to 80% radial distance, where it correlated significantly also with peripherally sampled protein CATA (association: oxidative stress, proliferation, cell cycle arrest, apoptotic cell death). Important information regarding tumor biology in response to radionuclide therapy is reflected in several MR parameters, SER and D in particular. The spatial and temporal information provided by MR methods increases the sensitivity for tumor therapy response.","author":[{"dropping-particle":"","family":"Montelius","given":"M.","non-dropping-particle":"","parse-names":false,"suffix":""},{"dropping-particle":"","family":"Spetz","given":"J.","non-dropping-particle":"","parse-names":false,"suffix":""},{"dropping-particle":"","family":"Jalnefjord","given":"O.","non-dropping-particle":"","parse-names":false,"suffix":""},{"dropping-particle":"","family":"Berger","given":"E.","non-dropping-particle":"","parse-names":false,"suffix":""},{"dropping-particle":"","family":"Nilsson","given":"O.","non-dropping-particle":"","parse-names":false,"suffix":""},{"dropping-particle":"","family":"Ljungberg","given":"M.","non-dropping-particle":"","parse-names":false,"suffix":""},{"dropping-particle":"","family":"Forssell-Aronsson","given":"E.","non-dropping-particle":"","parse-names":false,"suffix":""}],"container-title":"Translational Oncology","id":"ITEM-2","issue":"2","issued":{"date-parts":[["2018"]]},"title":"Identification of Potential MR-Derived Biomarkers for Tumor Tissue Response to&lt;sup&gt;177&lt;/sup&gt;Lu-Octreotate Therapy in an Animal Model of Small Intestine Neuroendocrine Tumor","type":"article-journal","volume":"11"},"uris":["http://www.mendeley.com/documents/?uuid=69b3d9c0-6e77-3b2b-9e99-dc57166cfb40"]}],"mendeley":{"formattedCitation":"&lt;sup&gt;1,4&lt;/sup&gt;","plainTextFormattedCitation":"1,4","previouslyFormattedCitation":"&lt;sup&gt;1,4&lt;/sup&gt;"},"properties":{"noteIndex":0},"schema":"https://github.com/citation-style-language/schema/raw/master/csl-citation.json"}</w:instrText>
      </w:r>
      <w:r w:rsidR="00067D62">
        <w:rPr>
          <w:rFonts w:ascii="Times New Roman" w:hAnsi="Times New Roman" w:cs="Times New Roman"/>
        </w:rPr>
        <w:fldChar w:fldCharType="separate"/>
      </w:r>
      <w:r w:rsidR="00A17C25" w:rsidRPr="00A17C25">
        <w:rPr>
          <w:rFonts w:ascii="Times New Roman" w:hAnsi="Times New Roman" w:cs="Times New Roman"/>
          <w:noProof/>
          <w:vertAlign w:val="superscript"/>
        </w:rPr>
        <w:t>1,4</w:t>
      </w:r>
      <w:r w:rsidR="00067D62">
        <w:rPr>
          <w:rFonts w:ascii="Times New Roman" w:hAnsi="Times New Roman" w:cs="Times New Roman"/>
        </w:rPr>
        <w:fldChar w:fldCharType="end"/>
      </w:r>
      <w:r w:rsidRPr="00AE0186">
        <w:rPr>
          <w:rFonts w:ascii="Times New Roman" w:hAnsi="Times New Roman" w:cs="Times New Roman"/>
        </w:rPr>
        <w:t>.</w:t>
      </w:r>
      <w:r w:rsidR="006A5349">
        <w:rPr>
          <w:rFonts w:ascii="Times New Roman" w:hAnsi="Times New Roman" w:cs="Times New Roman"/>
        </w:rPr>
        <w:t xml:space="preserve"> </w:t>
      </w:r>
      <w:r w:rsidR="006A5349" w:rsidRPr="00AE0186">
        <w:rPr>
          <w:rFonts w:ascii="Times New Roman" w:hAnsi="Times New Roman" w:cs="Times New Roman"/>
        </w:rPr>
        <w:t>For example, dynamic contrast enhanced MR</w:t>
      </w:r>
      <w:r w:rsidR="006A5349">
        <w:rPr>
          <w:rFonts w:ascii="Times New Roman" w:hAnsi="Times New Roman" w:cs="Times New Roman"/>
        </w:rPr>
        <w:t xml:space="preserve"> imaging</w:t>
      </w:r>
      <w:r w:rsidR="006A5349" w:rsidRPr="00AE0186">
        <w:rPr>
          <w:rFonts w:ascii="Times New Roman" w:hAnsi="Times New Roman" w:cs="Times New Roman"/>
        </w:rPr>
        <w:t xml:space="preserve"> (DCE-MRI) is used in oncological imaging to reveal abnormal biokinetics</w:t>
      </w:r>
      <w:r w:rsidR="00244FFB">
        <w:rPr>
          <w:rFonts w:ascii="Times New Roman" w:hAnsi="Times New Roman" w:cs="Times New Roman"/>
        </w:rPr>
        <w:t xml:space="preserve"> using</w:t>
      </w:r>
      <w:r w:rsidR="006A5349" w:rsidRPr="00AE0186">
        <w:rPr>
          <w:rFonts w:ascii="Times New Roman" w:hAnsi="Times New Roman" w:cs="Times New Roman"/>
        </w:rPr>
        <w:t xml:space="preserve"> contrast agent</w:t>
      </w:r>
      <w:r w:rsidR="00244FFB">
        <w:rPr>
          <w:rFonts w:ascii="Times New Roman" w:hAnsi="Times New Roman" w:cs="Times New Roman"/>
        </w:rPr>
        <w:t>s</w:t>
      </w:r>
      <w:r w:rsidR="006A5349" w:rsidRPr="00AE0186">
        <w:rPr>
          <w:rFonts w:ascii="Times New Roman" w:hAnsi="Times New Roman" w:cs="Times New Roman"/>
        </w:rPr>
        <w:t xml:space="preserve">. Semi-quantitative or quantitative parametric analysis or modelling of the DCE-MRI signal intensity </w:t>
      </w:r>
      <w:r w:rsidR="006A5349" w:rsidRPr="00AE0186">
        <w:rPr>
          <w:rFonts w:ascii="Times New Roman" w:hAnsi="Times New Roman" w:cs="Times New Roman"/>
          <w:i/>
        </w:rPr>
        <w:t>vs.</w:t>
      </w:r>
      <w:r w:rsidR="006A5349" w:rsidRPr="00AE0186">
        <w:rPr>
          <w:rFonts w:ascii="Times New Roman" w:hAnsi="Times New Roman" w:cs="Times New Roman"/>
        </w:rPr>
        <w:t xml:space="preserve"> time curve can provide important information on, </w:t>
      </w:r>
      <w:r w:rsidR="006A5349" w:rsidRPr="00AE0186">
        <w:rPr>
          <w:rFonts w:ascii="Times New Roman" w:hAnsi="Times New Roman" w:cs="Times New Roman"/>
          <w:i/>
        </w:rPr>
        <w:t>e.g.</w:t>
      </w:r>
      <w:r w:rsidR="006A5349" w:rsidRPr="00AE0186">
        <w:rPr>
          <w:rFonts w:ascii="Times New Roman" w:hAnsi="Times New Roman" w:cs="Times New Roman"/>
        </w:rPr>
        <w:t xml:space="preserve">, spatial distribution of vascularity, vessel structure and function, oxygenation, perfusion and blood volume </w:t>
      </w:r>
      <w:r w:rsidR="006A5349">
        <w:rPr>
          <w:rFonts w:ascii="Times New Roman" w:hAnsi="Times New Roman" w:cs="Times New Roman"/>
        </w:rPr>
        <w:fldChar w:fldCharType="begin" w:fldLock="1"/>
      </w:r>
      <w:r w:rsidR="006A551B">
        <w:rPr>
          <w:rFonts w:ascii="Times New Roman" w:hAnsi="Times New Roman" w:cs="Times New Roman"/>
        </w:rPr>
        <w:instrText>ADDIN CSL_CITATION {"citationItems":[{"id":"ITEM-1","itemData":{"ISBN":"1535-7163 (Print)\\r1535-7163 (Linking)","ISSN":"1535-7163","PMID":"12700286","abstract":"Functional magnetic resonance imaging is rapidly evolving as a capable noninvasive assessment tool for oncology to improve diagnosis and to monitor therapy. Current clinical techniques are based on microcirculation imaging using extracellular low molecular weight contrast agents such as gadopentetate dimeglumine and analogues. The temporal evolution of the enhancement visualizes the angiogenic properties of lesions with regard to vascular density and permeability, heterogeneity, and changes during therapy.","author":[{"dropping-particle":"V","family":"Knopp","given":"M","non-dropping-particle":"","parse-names":false,"suffix":""},{"dropping-particle":"","family":"Tengg-Kobligk","given":"H","non-dropping-particle":"von","parse-names":false,"suffix":""},{"dropping-particle":"","family":"Choyke","given":"P L","non-dropping-particle":"","parse-names":false,"suffix":""}],"container-title":"Mol Cancer Ther","id":"ITEM-1","issue":"4","issued":{"date-parts":[["2003"]]},"page":"419-426","title":"Functional magnetic resonance imaging in oncology for diagnosis and therapy monitoring","type":"article-journal","volume":"2"},"uris":["http://www.mendeley.com/documents/?uuid=302f221c-b6a3-4135-97a8-503c08832958"]}],"mendeley":{"formattedCitation":"&lt;sup&gt;5&lt;/sup&gt;","plainTextFormattedCitation":"5","previouslyFormattedCitation":"&lt;sup&gt;5&lt;/sup&gt;"},"properties":{"noteIndex":0},"schema":"https://github.com/citation-style-language/schema/raw/master/csl-citation.json"}</w:instrText>
      </w:r>
      <w:r w:rsidR="006A5349">
        <w:rPr>
          <w:rFonts w:ascii="Times New Roman" w:hAnsi="Times New Roman" w:cs="Times New Roman"/>
        </w:rPr>
        <w:fldChar w:fldCharType="separate"/>
      </w:r>
      <w:r w:rsidR="00A17C25" w:rsidRPr="00A17C25">
        <w:rPr>
          <w:rFonts w:ascii="Times New Roman" w:hAnsi="Times New Roman" w:cs="Times New Roman"/>
          <w:noProof/>
          <w:vertAlign w:val="superscript"/>
        </w:rPr>
        <w:t>5</w:t>
      </w:r>
      <w:r w:rsidR="006A5349">
        <w:rPr>
          <w:rFonts w:ascii="Times New Roman" w:hAnsi="Times New Roman" w:cs="Times New Roman"/>
        </w:rPr>
        <w:fldChar w:fldCharType="end"/>
      </w:r>
      <w:r w:rsidR="006A5349" w:rsidRPr="00AE0186">
        <w:rPr>
          <w:rFonts w:ascii="Times New Roman" w:hAnsi="Times New Roman" w:cs="Times New Roman"/>
        </w:rPr>
        <w:t>. Diffusion weighted MRI (DWI) can be used to evaluate the fractional tissue volume of actively perfused microvasculature (</w:t>
      </w:r>
      <w:r w:rsidR="006A5349" w:rsidRPr="00AE0186">
        <w:rPr>
          <w:rFonts w:ascii="Times New Roman" w:hAnsi="Times New Roman" w:cs="Times New Roman"/>
          <w:i/>
        </w:rPr>
        <w:t>f</w:t>
      </w:r>
      <w:r w:rsidR="006A5349" w:rsidRPr="00AE0186">
        <w:rPr>
          <w:rFonts w:ascii="Times New Roman" w:hAnsi="Times New Roman" w:cs="Times New Roman"/>
        </w:rPr>
        <w:t>) in addition to the diffusion coefficient (</w:t>
      </w:r>
      <w:r w:rsidR="006A5349" w:rsidRPr="00AE0186">
        <w:rPr>
          <w:rFonts w:ascii="Times New Roman" w:hAnsi="Times New Roman" w:cs="Times New Roman"/>
          <w:i/>
        </w:rPr>
        <w:t>D</w:t>
      </w:r>
      <w:r w:rsidR="006A5349" w:rsidRPr="00AE0186">
        <w:rPr>
          <w:rFonts w:ascii="Times New Roman" w:hAnsi="Times New Roman" w:cs="Times New Roman"/>
        </w:rPr>
        <w:t>) or apparent diffusion coefficient (</w:t>
      </w:r>
      <w:r w:rsidR="006A5349" w:rsidRPr="00AE0186">
        <w:rPr>
          <w:rFonts w:ascii="Times New Roman" w:hAnsi="Times New Roman" w:cs="Times New Roman"/>
          <w:i/>
        </w:rPr>
        <w:t>ADC</w:t>
      </w:r>
      <w:r w:rsidR="006A5349" w:rsidRPr="00AE0186">
        <w:rPr>
          <w:rFonts w:ascii="Times New Roman" w:hAnsi="Times New Roman" w:cs="Times New Roman"/>
        </w:rPr>
        <w:t xml:space="preserve">) of water molecules, </w:t>
      </w:r>
      <w:r w:rsidR="006A5349" w:rsidRPr="00AE0186">
        <w:rPr>
          <w:rFonts w:ascii="Times New Roman" w:hAnsi="Times New Roman" w:cs="Times New Roman"/>
          <w:i/>
        </w:rPr>
        <w:t>i.e</w:t>
      </w:r>
      <w:r w:rsidR="006A5349" w:rsidRPr="00AE0186">
        <w:rPr>
          <w:rFonts w:ascii="Times New Roman" w:hAnsi="Times New Roman" w:cs="Times New Roman"/>
        </w:rPr>
        <w:t>. measures reflecting structural restrictions on the thermal diffusion of tissue water molecules, excluding and including perfusion related water molecule motion, respectively</w:t>
      </w:r>
      <w:r w:rsidR="006A5349">
        <w:rPr>
          <w:rFonts w:ascii="Times New Roman" w:hAnsi="Times New Roman" w:cs="Times New Roman"/>
        </w:rPr>
        <w:t xml:space="preserve"> </w:t>
      </w:r>
      <w:r w:rsidR="006A5349">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{"citationItems":[{"id":"ITEM-1","itemData":{"DOI":"10.1148/radiology.168.2.3393671","ISBN":"0033-8419 (Print)\\r0033-8419 (Linking)","ISSN":"0033-8419","PMID":"3393671","abstract":"Intravoxel incoherent motion (IVIM) imaging is a method the authors developed to visualize microscopic motions of water. In biologic tissues, these motions include molecular diffusion and microcirculation of blood in the capillary network. IVIM images are quantified by an apparent diffusion coefficient (ADC), which integrates the effects of both diffusion and perfusion. The aim of this work was to demonstrate how much perfusion contributes to the ADC and to present a method for obtaining separate images of diffusion and perfusion. Images were obtained at 0.5 T with high-resolution multisection sequences and without the use of contrast material. Results in a phantom made of resin microspheres demonstrated the ability of the method to separately evaluate diffusion and perfusion. The method was then applied in patients with brain and bone tumors and brain ischemia. Clinical results showed significant promise of the method for tissue characterization by perfusion patterns and for functional studies in the evaluation of the microcirculation in physiologic and pathologic conditions, as, for instance, in brain ischemia.","author":[{"dropping-particle":"","family":"Bihan","given":"D","non-dropping-particle":"Le","parse-names":false,"suffix":""},{"dropping-particle":"","family":"Breton","given":"E","non-dropping-particle":"","parse-names":false,"suffix":""},{"dropping-particle":"","family":"Lallemand","given":"D","non-dropping-particle":"","parse-names":false,"suffix":""},{"dropping-particle":"","family":"Aubin","given":"M L","non-dropping-particle":"","parse-names":false,"suffix":""},{"dropping-particle":"","family":"Vignaud","given":"J","non-dropping-particle":"","parse-names":false,"suffix":""},{"dropping-particle":"","family":"Laval-Jeantet","given":"M","non-dropping-particle":"","parse-names":false,"suffix":""}],"container-title":"Radiology","id":"ITEM-1","issue":"2","issued":{"date-parts":[["1988"]]},"page":"497-505","title":"Separation of diffusion and perfusion in intravoxel incoherent motion MR imaging.","type":"article-journal","volume":"168"},"uris":["http://www.mendeley.com/documents/?uuid=9a30857b-f527-4bd0-bdb5-a009d97c1708"]}],"mendeley":{"formattedCitation":"&lt;sup&gt;6&lt;/sup&gt;","plainTextFormattedCitation":"6","previouslyFormattedCitation":"&lt;sup&gt;6&lt;/sup&gt;"},"properties":{"noteIndex":0},"schema":"https://github.com/citation-style-language/schema/raw/master/csl-citation.json"}</w:instrText>
      </w:r>
      <w:r w:rsidR="006A5349">
        <w:rPr>
          <w:rFonts w:ascii="Times New Roman" w:hAnsi="Times New Roman" w:cs="Times New Roman"/>
        </w:rPr>
        <w:fldChar w:fldCharType="separate"/>
      </w:r>
      <w:r w:rsidR="00A17C25" w:rsidRPr="00A17C25">
        <w:rPr>
          <w:rFonts w:ascii="Times New Roman" w:hAnsi="Times New Roman" w:cs="Times New Roman"/>
          <w:noProof/>
          <w:vertAlign w:val="superscript"/>
        </w:rPr>
        <w:t>6</w:t>
      </w:r>
      <w:r w:rsidR="006A5349">
        <w:rPr>
          <w:rFonts w:ascii="Times New Roman" w:hAnsi="Times New Roman" w:cs="Times New Roman"/>
        </w:rPr>
        <w:fldChar w:fldCharType="end"/>
      </w:r>
      <w:r w:rsidR="006A5349" w:rsidRPr="00AE0186">
        <w:rPr>
          <w:rFonts w:ascii="Times New Roman" w:hAnsi="Times New Roman" w:cs="Times New Roman"/>
        </w:rPr>
        <w:t>. Quantification of magnetic relaxation times (</w:t>
      </w:r>
      <w:r w:rsidR="006A5349" w:rsidRPr="00AE0186">
        <w:rPr>
          <w:rFonts w:ascii="Times New Roman" w:hAnsi="Times New Roman" w:cs="Times New Roman"/>
          <w:i/>
        </w:rPr>
        <w:t>T1</w:t>
      </w:r>
      <w:r w:rsidR="006A5349" w:rsidRPr="00AE0186">
        <w:rPr>
          <w:rFonts w:ascii="Times New Roman" w:hAnsi="Times New Roman" w:cs="Times New Roman"/>
        </w:rPr>
        <w:t xml:space="preserve">, </w:t>
      </w:r>
      <w:r w:rsidR="006A5349" w:rsidRPr="00AE0186">
        <w:rPr>
          <w:rFonts w:ascii="Times New Roman" w:hAnsi="Times New Roman" w:cs="Times New Roman"/>
          <w:i/>
        </w:rPr>
        <w:t>T2</w:t>
      </w:r>
      <w:r w:rsidR="006A5349" w:rsidRPr="00AE0186">
        <w:rPr>
          <w:rFonts w:ascii="Times New Roman" w:hAnsi="Times New Roman" w:cs="Times New Roman"/>
        </w:rPr>
        <w:t xml:space="preserve"> and </w:t>
      </w:r>
      <w:r w:rsidR="006A5349" w:rsidRPr="00AE0186">
        <w:rPr>
          <w:rFonts w:ascii="Times New Roman" w:hAnsi="Times New Roman" w:cs="Times New Roman"/>
          <w:i/>
        </w:rPr>
        <w:t>T2</w:t>
      </w:r>
      <w:r w:rsidR="006A5349" w:rsidRPr="00AE0186">
        <w:rPr>
          <w:rFonts w:ascii="Times New Roman" w:hAnsi="Times New Roman" w:cs="Times New Roman"/>
        </w:rPr>
        <w:t xml:space="preserve">*) could reveal altered molecular organization, presence of macromolecules after microvasculature restructuring or leakage, or changes in tissue deoxyhaemoglobin levels </w:t>
      </w:r>
      <w:r w:rsidR="006A5349">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{"citationItems":[{"id":"ITEM-1","itemData":{"DOI":"10.1371/journal.pone.0131095","ISBN":"1932-6203 (Electronic)\\r1932-6203 (Linking)","ISSN":"1932-6203","PMID":"26098849","abstract":"PURPOSE To assess whether T1 relaxation time of tumors may be used to assess response to bevacizumab anti-angiogenic therapy. PROCEDURES 12 female nude mice bearing subcutaneous SKOV3ip1-LC ovarian tumors were administered bevacizumab (6.25ug/g, n=6) or PBS (control, n=6) therapy twice a week for two weeks. T1 maps of tumors were generated before, two days, and 2 weeks after initiating therapy. Tumor weight was assessed by MR and at necropsy. Histology for microvessel density, proliferation, and apoptosis was performed. RESULTS Bevacizumab treatment resulted in tumor growth inhibition (p&lt;0.04, n=6), confirming therapeutic efficacy. Tumor T1 relaxation times increased in bevacizumab treated mice 2 days and 2 weeks after initiating therapy (p&lt;.05, n=6). Microvessel density decreased 59% and cell proliferation (Ki67+) decreased 50% in the bevacizumab treatment group (p&lt;.001, n=6), but not apoptosis. CONCLUSIONS Findings suggest that increased tumor T1 relaxation time is associated with response to bevacizumab therapy in ovarian cancer model and might serve as an early indicator of response.","author":[{"dropping-particle":"","family":"Ravoori","given":"Murali K","non-dropping-particle":"","parse-names":false,"suffix":""},{"dropping-particle":"","family":"Nishimura","given":"Masato","non-dropping-particle":"","parse-names":false,"suffix":""},{"dropping-particle":"","family":"Singh","given":"Sheela P","non-dropping-particle":"","parse-names":false,"suffix":""},{"dropping-particle":"","family":"Lu","given":"Chunhua","non-dropping-particle":"","parse-names":false,"suffix":""},{"dropping-particle":"","family":"Han","given":"Lin","non-dropping-particle":"","parse-names":false,"suffix":""},{"dropping-particle":"","family":"Hobbs","given":"Brian P","non-dropping-particle":"","parse-names":false,"suffix":""},{"dropping-particle":"","family":"Pradeep","given":"Sunila","non-dropping-particle":"","parse-names":false,"suffix":""},{"dropping-particle":"","family":"Choi","given":"Hyun J","non-dropping-particle":"","parse-names":false,"suffix":""},{"dropping-particle":"","family":"Bankson","given":"James A","non-dropping-particle":"","parse-names":false,"suffix":""},{"dropping-particle":"","family":"Sood","given":"Anil K","non-dropping-particle":"","parse-names":false,"suffix":""},{"dropping-particle":"","family":"Kundra","given":"Vikas","non-dropping-particle":"","parse-names":false,"suffix":""}],"container-title":"PloS one","id":"ITEM-1","issue":"6","issued":{"date-parts":[["2015"]]},"page":"e0131095","title":"Tumor T1 Relaxation Time for Assessing Response to Bevacizumab Anti-Angiogenic Therapy in a Mouse Ovarian Cancer Model.","type":"article-journal","volume":"10"},"uris":["http://www.mendeley.com/documents/?uuid=3692677e-3598-454c-8e99-62a9386bdc46"]},{"id":"ITEM-2","itemData":{"DOI":"10.1371/journal.pone.0120823","ISSN":"19326203","PMID":"25831053","abstract":"AIM: Aim of this study was to investigate the potential of 18F-FDG PET, diffusion weighted imaging (DWI) and susceptibility-weighted (T2*) MRI to predict response to systemic treatment in patients with colorectal liver metastases. The predictive values of pretreatment measurements and of early changes one week after start of therapy, were evaluated.\\n\\nMETHODS: Imaging was performed prior to and one week after start of first line chemotherapy in 39 patients with colorectal liver metastases. 18F-FDG PET scans were performed on a PET/CT scanner and DWI and T2* were performed on a 1.5T MR scanner. The maximum standardized uptake values (SUV), total lesion glycolysis (TLG), apparent diffusion coefficient (ADC) and T2* value were assessed in the same lesions. Up to 5 liver metastases per patient were analyzed. Outcome measures were progression free survival (PFS), overall survival (OS) and size response.\\n\\nRESULTS: Pretreatment, high SUVmax, high TLG, low ADC and high T2* were associated with a shorter OS. Low pretreatment ADC value was associated with shorter PFS. After 1 week a significant drop in SUVmax and rise in ADC were observed. The drop in SUV was correlated with the rise in ADC (r=-0.58, p=0.002). Neither change in ADC nor in SUV was predictive of PFS or OS. T2* did not significantly change after start of treatment.\\n\\nCONCLUSION: Pretreatment SUVmax, TLG, ADC, and T2* values in colorectal liver metastases are predictive of patient outcome. Despite sensitivity of DWI and 18F-FDG PET for early treatment effects, change in these parameters was not predictive of long term outcome.","author":[{"dropping-particle":"","family":"Heijmen","given":"Linda","non-dropping-particle":"","parse-names":false,"suffix":""},{"dropping-particle":"","family":"Voert","given":"Edwin E G W","non-dropping-particle":"Ter","parse-names":false,"suffix":""},{"dropping-particle":"","family":"Oyen","given":"Wim J G","non-dropping-particle":"","parse-names":false,"suffix":""},{"dropping-particle":"","family":"Punt","given":"Cornelis J A","non-dropping-particle":"","parse-names":false,"suffix":""},{"dropping-particle":"","family":"Spronsen","given":"Dick Johan","non-dropping-particle":"Van","parse-names":false,"suffix":""},{"dropping-particle":"","family":"Heerschap","given":"Arend","non-dropping-particle":"","parse-names":false,"suffix":""},{"dropping-particle":"","family":"Geus-Oei","given":"Lioe Fee","non-dropping-particle":"De","parse-names":false,"suffix":""},{"dropping-particle":"","family":"Laarhoven","given":"Hanneke W M","non-dropping-particle":"Van","parse-names":false,"suffix":""}],"container-title":"PLoS ONE","id":"ITEM-2","issue":"4","issued":{"date-parts":[["2015"]]},"page":"1-13","title":"Multimodality imaging to predict response to systemic treatment in patients with advanced colorectal cancer","type":"article-journal","volume":"10"},"uris":["http://www.mendeley.com/documents/?uuid=558a4259-1ab2-415f-967f-4b243e3199b4"]}],"mendeley":{"formattedCitation":"&lt;sup&gt;7,8&lt;/sup&gt;","plainTextFormattedCitation":"7,8","previouslyFormattedCitation":"&lt;sup&gt;7,8&lt;/sup&gt;"},"properties":{"noteIndex":0},"schema":"https://github.com/citation-style-language/schema/raw/master/csl-citation.json"}</w:instrText>
      </w:r>
      <w:r w:rsidR="006A5349">
        <w:rPr>
          <w:rFonts w:ascii="Times New Roman" w:hAnsi="Times New Roman" w:cs="Times New Roman"/>
        </w:rPr>
        <w:fldChar w:fldCharType="separate"/>
      </w:r>
      <w:r w:rsidR="00A17C25" w:rsidRPr="00A17C25">
        <w:rPr>
          <w:rFonts w:ascii="Times New Roman" w:hAnsi="Times New Roman" w:cs="Times New Roman"/>
          <w:noProof/>
          <w:vertAlign w:val="superscript"/>
        </w:rPr>
        <w:t>7,8</w:t>
      </w:r>
      <w:r w:rsidR="006A5349">
        <w:rPr>
          <w:rFonts w:ascii="Times New Roman" w:hAnsi="Times New Roman" w:cs="Times New Roman"/>
        </w:rPr>
        <w:fldChar w:fldCharType="end"/>
      </w:r>
      <w:r w:rsidR="006A5349" w:rsidRPr="00AE0186">
        <w:rPr>
          <w:rFonts w:ascii="Times New Roman" w:hAnsi="Times New Roman" w:cs="Times New Roman"/>
        </w:rPr>
        <w:t>.</w:t>
      </w:r>
    </w:p>
    <w:p w14:paraId="679830F1" w14:textId="5304A7E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Furthermore, the interest in combining several MR techniques in a multiparametric MR (mpMR) approach is increasing, since it would enable a non-invasive, spatiotemporally resolved, comprehensive evaluation of several, dynamic and functional biological mechanisms associated with tumour response</w:t>
      </w:r>
      <w:r w:rsidR="00067D62">
        <w:rPr>
          <w:rFonts w:ascii="Times New Roman" w:hAnsi="Times New Roman" w:cs="Times New Roman"/>
        </w:rPr>
        <w:t xml:space="preserve"> </w:t>
      </w:r>
      <w:r w:rsidR="00067D62">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{"citationItems":[{"id":"ITEM-1","itemData":{"DOI":"10.1148/rg.317115108","ISBN":"0271-5333","ISSN":"0271-5333","PMID":"22084189","abstract":"Targeted therapies are designed to interfere with specific aberrant biologic pathways involved in tumor development. The main classes of novel oncologic drugs include antiangiogenic drugs, antivascular agents, drugs interfering with EGFR-HER2 or KIT receptors, inhibitors of the PI3K/Akt/mTOR pathway, and hormonal therapies. Cancer cells usurp normal signal transduction pathways used by growth factors to stimulate proliferation and sustain viability. The interaction of growth factors with their receptors activates different intracellular pathways affecting key tumor biologic processes such as neoangiogenesis, tumor metabolism, and tumor proliferation. The response of tumors to anticancer therapy can be evaluated with anatomic response assessment, qualitative response assessment, and response assessment with functional and molecular imaging. Angiogenesis can be measured by means of perfusion imaging with computed tomography and magnetic resonance (MR) imaging. Diffusion-weighted MR imaging allows imaging evaluation of tumor cellularity. The main imaging techniques for studying tumor metabolism in vivo are positron emission tomography and MR spectroscopy. Familiarity with imaging findings secondary to tumor response to targeted therapies may help the radiologist better assist the clinician in accurate evaluation of tumor response to these anticancer treatments. Functional and molecular imaging techniques may provide valuable data and augment conventional assessment of tumor response to targeted therapies. Supplemental material available at http://radiographics.rsna.org/lookup/suppl/doi:10.1148/rg.317115108/-/DC1.","author":[{"dropping-particle":"","family":"Figueiras","given":"Roberto García","non-dropping-particle":"","parse-names":false,"suffix":""},{"dropping-particle":"","family":"Padhani","given":"Anwar R.","non-dropping-particle":"","parse-names":false,"suffix":""},{"dropping-particle":"","family":"Goh","given":"Vicky J.","non-dropping-particle":"","parse-names":false,"suffix":""},{"dropping-particle":"","family":"Vilanova","given":"Joan C.","non-dropping-particle":"","parse-names":false,"suffix":""},{"dropping-particle":"","family":"Gonzalez","given":"S. B.","non-dropping-particle":"","parse-names":false,"suffix":""},{"dropping-particle":"V.","family":"Martin","given":"C.","non-dropping-particle":"","parse-names":false,"suffix":""},{"dropping-particle":"","family":"Caamano","given":"a. G.","non-dropping-particle":"","parse-names":false,"suffix":""},{"dropping-particle":"","family":"Naveira","given":"Anaberta Bermúdez","non-dropping-particle":"","parse-names":false,"suffix":""},{"dropping-particle":"","family":"Choyke","given":"Peter L.","non-dropping-particle":"","parse-names":false,"suffix":""}],"container-title":"Radiographics","id":"ITEM-1","issue":"7","issued":{"date-parts":[["2011"]]},"page":"2059-2091","title":"Novel Oncologic Drugs: What They Do and How They Affect Images","type":"article-journal","volume":"31"},"uris":["http://www.mendeley.com/documents/?uuid=f607ba6d-2282-4fb8-a0a6-dc677103567e"]},{"id":"ITEM-2","itemData":{"DOI":"10.1002/jmri.24079","ISBN":"1053-1807","ISSN":"10531807","PMID":"23908122","abstract":"PURPOSE: To investigate the effect of bevacizumab treatment on vascular architecture and function in two xenograft models with different angiogenic properties using diffusion-weighted magnetic resonance imaging (DW-MRI) and dynamic contrast-enhanced MRI (DCE-MRI). MATERIALS AND METHODS: Mice carrying basal-like (MAS98.12) or luminal-like (MAS98.06) orthotopic breast cancer xenografts were treated with bevacizumab (5 mg/kg), doxorubicin (8 mg/kg), or both drugs in combination. DW-MRI and DCE-MRI were performed before and 3 days after treatment using a Bruker 7T preclinical scanner. Mean microvessel density (MVD) and proliferating microvessel density (pMVD) in the tumors were determined for evaluation of vascular response to bevacizumab treatment. RESULTS: No changes in DCE-MRI or DW-MRI parameters were observed in untreated controls during the experiment period. DW-MRI showed increased apparent diffusion coefficient (ADC) values in all treatment groups in both basal-like and luminal-like xenografts. DCE-MRI showed increased contrast agent uptake, particularly in central regions of the tumors, after bevacizumab/combination treatment in both xenograft models. This was accompanied by decreased MVD and pMVD in basal-like xenografts. Doxorubicin treatment had no effect on DCE-MRI parameters in any of the xenograft models. CONCLUSION: Both DW-MRI and DCE-MRI demonstrated an early response to bevacizumab treatment in the xenograft tumors. Increased contrast agent uptake and reduced MVD/pMVD is consistent with a normalization of vascular function.","author":[{"dropping-particle":"","family":"Moestue","given":"Siver A.","non-dropping-particle":"","parse-names":false,"suffix":""},{"dropping-particle":"","family":"Huuse","given":"Else M.","non-dropping-particle":"","parse-names":false,"suffix":""},{"dropping-particle":"","family":"Lindholm","given":"Evita M.","non-dropping-particle":"","parse-names":false,"suffix":""},{"dropping-particle":"","family":"Bofin","given":"Anna","non-dropping-particle":"","parse-names":false,"suffix":""},{"dropping-particle":"","family":"Engebraaten","given":"Olav","non-dropping-particle":"","parse-names":false,"suffix":""},{"dropping-particle":"","family":"Mælandsmo","given":"Gunhild M.","non-dropping-particle":"","parse-names":false,"suffix":""},{"dropping-particle":"","family":"Akslen","given":"Lars A.","non-dropping-particle":"","parse-names":false,"suffix":""},{"dropping-particle":"","family":"Gribbestad","given":"Ingrid S.","non-dropping-particle":"","parse-names":false,"suffix":""}],"container-title":"Journal of Magnetic Resonance Imaging","id":"ITEM-2","issue":"5","issued":{"date-parts":[["2013"]]},"page":"1043-1053","title":"Low-molecular contrast agent dynamic contrast-enhanced (DCE)-MRI and diffusion-weighted (DW)-MRI in early assessment of bevacizumab treatment in breast cancer xenografts","type":"article-journal","volume":"38"},"uris":["http://www.mendeley.com/documents/?uuid=0ffc7b09-1e35-487c-aad3-3cb8beb6d5ad"]},{"id":"ITEM-3","itemData":{"DOI":"10.1186/1471-2407-14-92","ISBN":"1471-2407 (Electronic)\\r1471-2407 (Linking)","ISSN":"1471-2407","PMID":"24528854","abstract":"BACKGROUND: Cancer patients with primary tumors showing extensive hypoxia and highly elevated interstitial fluid pressure (IFP) have poor prognosis. The potential of diffusion-weighted magnetic resonance imaging (DW-MRI) in assessing the hypoxic fraction, IFP, and metastatic propensity of tumors was investigated in this study.\\n\\nMETHODS: A-07 and R-18 melanoma xenografts were used as general models of human cancer. DW-MRI was performed at 1.5 T, and maps of the apparent diffusion coefficient (ADC) were produced with in-house-made software developed in Matlab. Pimonidazole was used as a hypoxia marker. Tumor cell density and hypoxic fraction were assessed by quantitative analysis of histological sections. IFP was measured with a Millar catheter. Metastatic propensity was determined by examining tumor-bearing mice for pulmonary micrometastases post mortem.\\n\\nRESULTS: ADC decreased with increasing tumor cell density, independent of whether the A-07 and R-18 data were analyzed separately or together. In the A-07 line, ADC decreased with increasing hypoxic fraction and increasing IFP and was lower in metastatic than in nonmetastatic tumors, and in the R-18 line, ADC decreased with increasing hypoxic fraction. There was a strong inverse correlation between ADC and hypoxic fraction as well as between ADC and IFP across the two tumor lines, primarily because low ADC as well as high hypoxic fraction and high IFP were associated with high cell density.\\n\\nCONCLUSION: Low ADC is a potentially useful biomarker of poor prognosis in cancer, since low ADC is mainly a consequence of high cell density, and high cell density may lead to increased hypoxia and interstitial hypertension and, therefore, increased microenvironment-associated metastasis.","author":[{"dropping-particle":"","family":"Hompland","given":"Tord","non-dropping-particle":"","parse-names":false,"suffix":""},{"dropping-particle":"","family":"Ellingsen","given":"Christine","non-dropping-particle":"","parse-names":false,"suffix":""},{"dropping-particle":"","family":"Galappathi","given":"Kanthi","non-dropping-particle":"","parse-names":false,"suffix":""},{"dropping-particle":"","family":"Rofstad","given":"Einar K","non-dropping-particle":"","parse-names":false,"suffix":""}],"container-title":"BMC Cancer","id":"ITEM-3","issue":"1","issued":{"date-parts":[["2014"]]},"page":"92","title":"DW-MRI in assessment of the hypoxic fraction, interstitial fluid pressure, and metastatic propensity of melanoma xenografts","type":"article-journal","volume":"14"},"uris":["http://www.mendeley.com/documents/?uuid=10dbcdee-f9f2-4e6d-863b-069d5593914e"]},{"id":"ITEM-4","itemData":{"DOI":"10.3389/fgene.2013.00298","ISSN":"16648021","PMID":"24454320","abstract":"THE DIAGNOSIS OF A SUSPECTED TUMOR LESION FACES TWO BASIC PROBLEMS: detection and identification of the specific type of tumor. Radiological techniques are commonly used for the detection and localization of solid tumors. Prerequisite is a high intrinsic or enhanced contrast between normal and neoplastic tissue. Identification of the tumor type is still based on histological analysis. The result depends critically on the sampling sites, which given the inherent heterogeneity of tumors, constitutes a major limitation. Non-invasive in vivo imaging might overcome this limitation providing comprehensive three-dimensional morphological, physiological, and metabolic information as well as the possibility for longitudinal studies. In this context, magnetic resonance based techniques are quite attractive since offer at the same time high spatial resolution, unique soft tissue contrast, good temporal resolution to study dynamic processes and high chemical specificity. The goal of this paper is to review the role of magnetic resonance techniques in characterizing tumor tissue in vivo both at morphological and physiological levels. The first part of this review covers methods, which provide information on specific aspects of tumor phenotypes, considered as indicators of malignancy. These comprise measurements of the inflammatory status, neo-vascular physiology, acidosis, tumor oxygenation, and metabolism together with tissue morphology. Even if the spatial resolution is not sufficient to characterize the tumor phenotype at a cellular level, this multiparametric information might potentially be used for classification of tumors. The second part discusses mathematical tools, which allow characterizing tissue based on the acquired three-dimensional data set. In particular, methods addressing tumor heterogeneity will be highlighted. Finally, we address the potential and limitation of using MRI as a tool to provide in vivo tissue characterization.","author":[{"dropping-particle":"","family":"Dominietto","given":"Marco","non-dropping-particle":"","parse-names":false,"suffix":""},{"dropping-particle":"","family":"Rudin","given":"Markus","non-dropping-particle":"","parse-names":false,"suffix":""}],"container-title":"Frontiers in Genetics","id":"ITEM-4","issue":"JAN","issued":{"date-parts":[["2013"]]},"page":"1-15","title":"Could magnetic resonance provide in vivo histology?","type":"article-journal","volume":"4"},"uris":["http://www.mendeley.com/documents/?uuid=87fd7510-60d8-416a-b20e-f8406333c560"]},{"id":"ITEM-5","itemData":{"DOI":"10.1186/s12967-016-0920-y","ISSN":"1479-5876","PMID":"27268062","abstract":"PURPOSE The aggressiveness of pancreatic ductal adenocarcinoma (PDAC) is highly dependent on the level of differentiation and the composition of the stroma. In this preclinical study, we investigated the potential of diffusion-weighted magnetic resonance imaging (DW-MRI) and dynamic contrast-enhanced magnetic resonance imaging (DCE-MRI) as noninvasive methods for providing information on the differentiation and the stroma of PDACs. METHODS Xenografted tumors initiated from four PDAC cell lines (BxPC-3, Capan-2, MIAPaCa-2, and Panc-1) were included in the study. DW-MRI and DCE-MRI were carried out on a 7.05-T MR scanner, and tumor images of ADC (the apparent diffusion coefficient), K (trans) (the volume transfer constant of Gd-DOTA), and v e (the fractional distribution volume of Gd-DOTA) were produced. The level of differentiation and the amount and structure of collagen I and collagen IV were determined by examining histological preparations. RESULTS Differentiated tumors showed lower levels of collagen I and collagen IV than non-differentiated tumors. Significant correlations were found between ADC and v e, and both parameters differentiated clearly between collagen-rich non-differentiated tumors and differentiated tumors containing less collagen. CONCLUSION Differentiated PDAC xenografts show higher ADC values and higher v e values than their non-differentiated counterparts. This observation supports the application of parametric MR images as tumor biomarkers in PDAC. Patients showing low values of ADC and v e most likely have non-differentiated tumors with extensive stroma and, hence, poor prognosis.","author":[{"dropping-particle":"","family":"Wegner","given":"Catherine S","non-dropping-particle":"","parse-names":false,"suffix":""},{"dropping-particle":"","family":"Gaustad","given":"Jon-Vidar","non-dropping-particle":"","parse-names":false,"suffix":""},{"dropping-particle":"","family":"Andersen","given":"Lise Mari K","non-dropping-particle":"","parse-names":false,"suffix":""},{"dropping-particle":"","family":"Simonsen","given":"Trude G","non-dropping-particle":"","parse-names":false,"suffix":""},{"dropping-particle":"","family":"Rofstad","given":"Einar K","non-dropping-particle":"","parse-names":false,"suffix":""}],"container-title":"Journal of translational medicine","id":"ITEM-5","issue":"1","issued":{"date-parts":[["2016"]]},"page":"161","publisher":"BioMed Central","title":"Diffusion-weighted and dynamic contrast-enhanced MRI of pancreatic adenocarcinoma xenografts: associations with tumor differentiation and collagen content.","type":"article-journal","volume":"14"},"uris":["http://www.mendeley.com/documents/?uuid=132f3c8e-224d-37c9-b082-8a849c08b03b"]}],"mendeley":{"formattedCitation":"&lt;sup&gt;1,9–12&lt;/sup&gt;","plainTextFormattedCitation":"1,9–12","previouslyFormattedCitation":"&lt;sup&gt;1,9–12&lt;/sup&gt;"},"properties":{"noteIndex":0},"schema":"https://github.com/citation-style-language/schema/raw/master/csl-citation.json"}</w:instrText>
      </w:r>
      <w:r w:rsidR="00067D62">
        <w:rPr>
          <w:rFonts w:ascii="Times New Roman" w:hAnsi="Times New Roman" w:cs="Times New Roman"/>
        </w:rPr>
        <w:fldChar w:fldCharType="separate"/>
      </w:r>
      <w:r w:rsidR="00A17C25" w:rsidRPr="00A17C25">
        <w:rPr>
          <w:rFonts w:ascii="Times New Roman" w:hAnsi="Times New Roman" w:cs="Times New Roman"/>
          <w:noProof/>
          <w:vertAlign w:val="superscript"/>
        </w:rPr>
        <w:t>1,9–12</w:t>
      </w:r>
      <w:r w:rsidR="00067D62">
        <w:rPr>
          <w:rFonts w:ascii="Times New Roman" w:hAnsi="Times New Roman" w:cs="Times New Roman"/>
        </w:rPr>
        <w:fldChar w:fldCharType="end"/>
      </w:r>
      <w:r w:rsidRPr="00AE0186">
        <w:rPr>
          <w:rFonts w:ascii="Times New Roman" w:hAnsi="Times New Roman" w:cs="Times New Roman"/>
        </w:rPr>
        <w:t>.</w:t>
      </w:r>
    </w:p>
    <w:p w14:paraId="433DD056" w14:textId="1D6F4F4E"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Studies have been performed where individual MR-derived tissue parameters for tumour response assessment (</w:t>
      </w:r>
      <w:r w:rsidRPr="00AE0186">
        <w:rPr>
          <w:rFonts w:ascii="Times New Roman" w:hAnsi="Times New Roman" w:cs="Times New Roman"/>
          <w:i/>
        </w:rPr>
        <w:t>e.g</w:t>
      </w:r>
      <w:r w:rsidRPr="00AE0186">
        <w:rPr>
          <w:rFonts w:ascii="Times New Roman" w:hAnsi="Times New Roman" w:cs="Times New Roman"/>
        </w:rPr>
        <w:t>. water diffusion, vascular parameters, perfusion and hypoxia) have been correlated with biological measures. However, the results sometimes show weak, diverging or even contradictory results, most likely due to the diversity of tumour types, therapeutic modalities, experimental conditions and methodologies described in the literature</w:t>
      </w:r>
      <w:r w:rsidR="002C37A7">
        <w:rPr>
          <w:rFonts w:ascii="Times New Roman" w:hAnsi="Times New Roman" w:cs="Times New Roman"/>
        </w:rPr>
        <w:t xml:space="preserve"> </w:t>
      </w:r>
      <w:r w:rsidR="002C37A7">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{"citationItems":[{"id":"ITEM-1","itemData":{"DOI":"10.3109/0284186X.2013.787164","ISBN":"0284-186X","ISSN":"1651-226X","PMID":"23621751","abstract":"BACKGROUND: Focal boosting of prostate tumours to improve outcome, requires accurate tumour delineation. For this, the apparent diffusion coefficient (ADC) derived from diffusion-weighted MR imaging (DWI) seems a useful tool. On voxel level, the relationship between ADC and histological presence of tumour is, however, ambiguous. Therefore, in this study the relationship between ADC and histological variables was investigated on voxel level to understand the strengths and limitations of DWI for prostate tumour delineation. MATERIAL AND METHODS: Twelve radical prostatectomy patients underwent a pre-operative 3.0T DWI exam and the ADC was calculated. From whole-mount histological sections cell density and glandular area were retrieved for every voxel. The distribution of all variables was described for tumour, peripheral zone (PZ) and central gland (CG) on regional and voxel level. Correlations between variables and differences between regions were calculated. RESULTS: Large heterogeneity of ADC on voxel level was observed within tumours, between tumours and between patients. This heterogeneity was reflected by the distribution of cell density and glandular area. On regional level, tumour was different from PZ having higher cell density (p = 0.007), less glandular area (p = 0.017) and lower ADCs (p = 0.017). ADC was correlated with glandular area (r = 0.402) and tumour volume (r = -0.608), but not with Gleason score. ADC tended to decrease with increasing cell density (r = -0.327, p = 0.073). On voxel level, correlations between ADC and histological variables varied among patients, for cell density ranging from r = -0.439 to r = 0.261 and for glandular area from r = 0.593 to r = 0.207. CONCLUSIONS: The variation in ADC can to a certain extent be explained by the variation in cell density and glandular area. The ADC is highly heterogeneous, which reflects the heterogeneity of malignant and benign prostate tissue. This heterogeneity might however obscure small tumours or parts of tumours. Therefore, DWI has to be used in the context of multiparametric MRI.","author":[{"dropping-particle":"","family":"Borren","given":"Alie","non-dropping-particle":"","parse-names":false,"suffix":""},{"dropping-particle":"","family":"Moman","given":"Maaike R","non-dropping-particle":"","parse-names":false,"suffix":""},{"dropping-particle":"","family":"Groenendaal","given":"Greetje","non-dropping-particle":"","parse-names":false,"suffix":""},{"dropping-particle":"","family":"Boeken Kruger","given":"Arto E","non-dropping-particle":"","parse-names":false,"suffix":""},{"dropping-particle":"","family":"Diest","given":"Paul J","non-dropping-particle":"van","parse-names":false,"suffix":""},{"dropping-particle":"","family":"Groep","given":"Petra","non-dropping-particle":"van der","parse-names":false,"suffix":""},{"dropping-particle":"","family":"Heide","given":"Uulke a","non-dropping-particle":"van der","parse-names":false,"suffix":""},{"dropping-particle":"","family":"Vulpen","given":"Marco","non-dropping-particle":"van","parse-names":false,"suffix":""},{"dropping-particle":"","family":"Philippens","given":"Marielle E P","non-dropping-particle":"","parse-names":false,"suffix":""}],"container-title":"Acta oncologica (Stockholm, Sweden)","id":"ITEM-1","issue":"8","issued":{"date-parts":[["2013"]]},"page":"1629-36","title":"Why prostate tumour delineation based on apparent diffusion coefficient is challenging: an exploration of the tissue microanatomy.","type":"article-journal","volume":"52"},"uris":["http://www.mendeley.com/documents/?uuid=4c3b1dd3-2d14-495e-9715-be00afc271ed"]},{"id":"ITEM-2","itemData":{"DOI":"10.1111/j.1365-2141.2011.08658.x","ISBN":"1365-2141 (Electronic)\\r0007-1048 (Linking)","ISSN":"00071048","PMID":"21517815","abstract":"Bone marrow plasma cell infiltration is a crucial parameter of disease activity in monoclonal plasma cell disorders. Until now, the only way to quantify such infiltration was bone marrow biopsy or aspiration. Diffusion-weighted imaging (DWI) is a magnetic resonance imaging-technique that may mirror tissue cellularity by measuring random movements of water molecules. To investigate if DWI is capable of assessing bone marrow cellularity in monoclonal plasma cell disease, we investigated 56 patients with multiple myeloma or monoclonal gammopathy of undetermined significance, and 30 healthy controls using DWI of the pelvis and/or the lumbar spine. In 25 of 30 patients who underwent biopsy, bone marrow trephine and DWI could be compared. Of the patients with symptomatic disease 15 could be evaluated after systemic treatment. There was a positive correlation between the DWI-parameter apparent diffusion coefficient (ADC) and bone marrow cellularity as well as micro-vessel density (P&lt;0·001 respectively). ADC was significantly different between patients and controls (P&lt;0·01) and before and after systemic therapy (P&lt;0·001). In conclusion, DWI enabled bone marrow infiltration to be monitored in a non-invasive, quantitative way, suggesting that after further investigations on larger patient groups this might become an useful tool in the clinical work-up to assess tumour burden.","author":[{"dropping-particle":"","family":"Hillengass","given":"Jens","non-dropping-particle":"","parse-names":false,"suffix":""},{"dropping-particle":"","family":"Bäuerle","given":"Tobias","non-dropping-particle":"","parse-names":false,"suffix":""},{"dropping-particle":"","family":"Bartl","given":"Reiner","non-dropping-particle":"","parse-names":false,"suffix":""},{"dropping-particle":"","family":"Andrulis","given":"Mindaugas","non-dropping-particle":"","parse-names":false,"suffix":""},{"dropping-particle":"","family":"Mcclanahan","given":"Fabienne","non-dropping-particle":"","parse-names":false,"suffix":""},{"dropping-particle":"","family":"Laun","given":"Frederik B.","non-dropping-particle":"","parse-names":false,"suffix":""},{"dropping-particle":"","family":"Zechmann","given":"Christian Martin","non-dropping-particle":"","parse-names":false,"suffix":""},{"dropping-particle":"","family":"Shah","given":"Rajiv","non-dropping-particle":"","parse-names":false,"suffix":""},{"dropping-particle":"","family":"Wagner-Gund","given":"Barbara","non-dropping-particle":"","parse-names":false,"suffix":""},{"dropping-particle":"","family":"Simon","given":"Dirk","non-dropping-particle":"","parse-names":false,"suffix":""},{"dropping-particle":"","family":"Heiss","given":"Christiane","non-dropping-particle":"","parse-names":false,"suffix":""},{"dropping-particle":"","family":"Neben","given":"Kai","non-dropping-particle":"","parse-names":false,"suffix":""},{"dropping-particle":"","family":"Ho","given":"Anthony D.","non-dropping-particle":"","parse-names":false,"suffix":""},{"dropping-particle":"","family":"Schlemmer","given":"Heinz Peter","non-dropping-particle":"","parse-names":false,"suffix":""},{"dropping-particle":"","family":"Goldschmidt","given":"Hartmut","non-dropping-particle":"","parse-names":false,"suffix":""},{"dropping-particle":"","family":"Delorme","given":"Stefan","non-dropping-particle":"","parse-names":false,"suffix":""},{"dropping-particle":"","family":"Stieltjes","given":"Bram","non-dropping-particle":"","parse-names":false,"suffix":""}],"container-title":"British Journal of Haematology","id":"ITEM-2","issue":"6","issued":{"date-parts":[["2011"]]},"page":"721-728","title":"Diffusion-weighted imaging for non-invasive and quantitative monitoring of bone marrow infiltration in patients with monoclonal plasma cell disease: A comparative study with histology","type":"article-journal","volume":"153"},"uris":["http://www.mendeley.com/documents/?uuid=6fef5fba-6664-4b0f-a2cf-c2d0e4a82e91","http://www.mendeley.com/documents/?uuid=ee636b87-ab9d-4d68-a436-4bcfcf845693"]}],"mendeley":{"formattedCitation":"&lt;sup&gt;13,14&lt;/sup&gt;","plainTextFormattedCitation":"13,14","previouslyFormattedCitation":"&lt;sup&gt;13,14&lt;/sup&gt;"},"properties":{"noteIndex":0},"schema":"https://github.com/citation-style-language/schema/raw/master/csl-citation.json"}</w:instrText>
      </w:r>
      <w:r w:rsidR="002C37A7">
        <w:rPr>
          <w:rFonts w:ascii="Times New Roman" w:hAnsi="Times New Roman" w:cs="Times New Roman"/>
        </w:rPr>
        <w:fldChar w:fldCharType="separate"/>
      </w:r>
      <w:r w:rsidR="00A17C25" w:rsidRPr="00A17C25">
        <w:rPr>
          <w:rFonts w:ascii="Times New Roman" w:hAnsi="Times New Roman" w:cs="Times New Roman"/>
          <w:noProof/>
          <w:vertAlign w:val="superscript"/>
        </w:rPr>
        <w:t>13,14</w:t>
      </w:r>
      <w:r w:rsidR="002C37A7">
        <w:rPr>
          <w:rFonts w:ascii="Times New Roman" w:hAnsi="Times New Roman" w:cs="Times New Roman"/>
        </w:rPr>
        <w:fldChar w:fldCharType="end"/>
      </w:r>
      <w:r w:rsidRPr="00AE0186">
        <w:rPr>
          <w:rFonts w:ascii="Times New Roman" w:hAnsi="Times New Roman" w:cs="Times New Roman"/>
        </w:rPr>
        <w:t>. Hence, in order to develop a reliable and sensitive response assessment method based on mpMR, a comprehensive evaluation of the link between the pathophysiological processes and the MR-derived tissue parameters must be conducted for the particular combination of tumour type and treatment modality studied.</w:t>
      </w:r>
    </w:p>
    <w:p w14:paraId="356E4511" w14:textId="43C71E9C"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For MR-derived parameters to provide robust </w:t>
      </w:r>
      <w:r w:rsidRPr="00AE0186">
        <w:rPr>
          <w:rFonts w:ascii="Times New Roman" w:hAnsi="Times New Roman" w:cs="Times New Roman"/>
          <w:i/>
        </w:rPr>
        <w:t>in vivo</w:t>
      </w:r>
      <w:r w:rsidRPr="00AE0186">
        <w:rPr>
          <w:rFonts w:ascii="Times New Roman" w:hAnsi="Times New Roman" w:cs="Times New Roman"/>
        </w:rPr>
        <w:t xml:space="preserve"> tumour therapy response assessment, the MR-methods must be better optimized and understood, both regarding acquisition and evaluation of data, and the parameters must be evaluated with correspo</w:t>
      </w:r>
      <w:r w:rsidR="002C37A7">
        <w:rPr>
          <w:rFonts w:ascii="Times New Roman" w:hAnsi="Times New Roman" w:cs="Times New Roman"/>
        </w:rPr>
        <w:t>nding histological tissue data (</w:t>
      </w:r>
      <w:r w:rsidRPr="00AE0186">
        <w:rPr>
          <w:rFonts w:ascii="Times New Roman" w:hAnsi="Times New Roman" w:cs="Times New Roman"/>
          <w:i/>
        </w:rPr>
        <w:t>e.g.</w:t>
      </w:r>
      <w:r w:rsidR="002C37A7">
        <w:rPr>
          <w:rFonts w:ascii="Times New Roman" w:hAnsi="Times New Roman" w:cs="Times New Roman"/>
          <w:i/>
        </w:rPr>
        <w:fldChar w:fldCharType="begin" w:fldLock="1"/>
      </w:r>
      <w:r w:rsidR="006A551B">
        <w:rPr>
          <w:rFonts w:ascii="Times New Roman" w:hAnsi="Times New Roman" w:cs="Times New Roman"/>
          <w:i/>
        </w:rPr>
        <w:instrText>ADDIN CSL_CITATION {"citationItems":[{"id":"ITEM-1","itemData":{"DOI":"10.3389/fgene.2013.00298","ISSN":"16648021","PMID":"24454320","abstract":"THE DIAGNOSIS OF A SUSPECTED TUMOR LESION FACES TWO BASIC PROBLEMS: detection and identification of the specific type of tumor. Radiological techniques are commonly used for the detection and localization of solid tumors. Prerequisite is a high intrinsic or enhanced contrast between normal and neoplastic tissue. Identification of the tumor type is still based on histological analysis. The result depends critically on the sampling sites, which given the inherent heterogeneity of tumors, constitutes a major limitation. Non-invasive in vivo imaging might overcome this limitation providing comprehensive three-dimensional morphological, physiological, and metabolic information as well as the possibility for longitudinal studies. In this context, magnetic resonance based techniques are quite attractive since offer at the same time high spatial resolution, unique soft tissue contrast, good temporal resolution to study dynamic processes and high chemical specificity. The goal of this paper is to review the role of magnetic resonance techniques in characterizing tumor tissue in vivo both at morphological and physiological levels. The first part of this review covers methods, which provide information on specific aspects of tumor phenotypes, considered as indicators of malignancy. These comprise measurements of the inflammatory status, neo-vascular physiology, acidosis, tumor oxygenation, and metabolism together with tissue morphology. Even if the spatial resolution is not sufficient to characterize the tumor phenotype at a cellular level, this multiparametric information might potentially be used for classification of tumors. The second part discusses mathematical tools, which allow characterizing tissue based on the acquired three-dimensional data set. In particular, methods addressing tumor heterogeneity will be highlighted. Finally, we address the potential and limitation of using MRI as a tool to provide in vivo tissue characterization.","author":[{"dropping-particle":"","family":"Dominietto","given":"Marco","non-dropping-particle":"","parse-names":false,"suffix":""},{"dropping-particle":"","family":"Rudin","given":"Markus","non-dropping-particle":"","parse-names":false,"suffix":""}],"container-title":"Frontiers in Genetics","id":"ITEM-1","issue":"JAN","issued":{"date-parts":[["2013"]]},"page":"1-15","title":"Could magnetic resonance provide in vivo histology?","type":"article-journal","volume":"4"},"uris":["http://www.mendeley.com/documents/?uuid=87fd7510-60d8-416a-b20e-f8406333c560"]}],"mendeley":{"formattedCitation":"&lt;sup&gt;11&lt;/sup&gt;","plainTextFormattedCitation":"11","previouslyFormattedCitation":"&lt;sup&gt;11&lt;/sup&gt;"},"properties":{"noteIndex":0},"schema":"https://github.com/citation-style-language/schema/raw/master/csl-citation.json"}</w:instrText>
      </w:r>
      <w:r w:rsidR="002C37A7">
        <w:rPr>
          <w:rFonts w:ascii="Times New Roman" w:hAnsi="Times New Roman" w:cs="Times New Roman"/>
          <w:i/>
        </w:rPr>
        <w:fldChar w:fldCharType="separate"/>
      </w:r>
      <w:r w:rsidR="00A17C25" w:rsidRPr="00A17C25">
        <w:rPr>
          <w:rFonts w:ascii="Times New Roman" w:hAnsi="Times New Roman" w:cs="Times New Roman"/>
          <w:noProof/>
          <w:vertAlign w:val="superscript"/>
        </w:rPr>
        <w:t>11</w:t>
      </w:r>
      <w:r w:rsidR="002C37A7">
        <w:rPr>
          <w:rFonts w:ascii="Times New Roman" w:hAnsi="Times New Roman" w:cs="Times New Roman"/>
          <w:i/>
        </w:rPr>
        <w:fldChar w:fldCharType="end"/>
      </w:r>
      <w:r w:rsidR="002C37A7">
        <w:rPr>
          <w:rFonts w:ascii="Times New Roman" w:hAnsi="Times New Roman" w:cs="Times New Roman"/>
        </w:rPr>
        <w:t>)</w:t>
      </w:r>
      <w:r w:rsidRPr="00AE0186">
        <w:rPr>
          <w:rFonts w:ascii="Times New Roman" w:hAnsi="Times New Roman" w:cs="Times New Roman"/>
        </w:rPr>
        <w:t xml:space="preserve">. To our knowledge, the biological interpretation of mpMR data of NETs receiving RNT has not been studied using histological methods. </w:t>
      </w:r>
    </w:p>
    <w:p w14:paraId="625C5E23"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Aims</w:t>
      </w:r>
    </w:p>
    <w:p w14:paraId="0C945111"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The aim of this project was to evaluate the potential of mpMR for response assessment of NETs receiving RNT by studying correlations between </w:t>
      </w:r>
      <w:r w:rsidRPr="00AE0186">
        <w:rPr>
          <w:rFonts w:ascii="Times New Roman" w:hAnsi="Times New Roman" w:cs="Times New Roman"/>
          <w:i/>
        </w:rPr>
        <w:t>in vivo</w:t>
      </w:r>
      <w:r w:rsidRPr="00AE0186">
        <w:rPr>
          <w:rFonts w:ascii="Times New Roman" w:hAnsi="Times New Roman" w:cs="Times New Roman"/>
        </w:rPr>
        <w:t xml:space="preserve">, MR-derived tissue parameters and biological characteristics of corresponding </w:t>
      </w:r>
      <w:r w:rsidRPr="00AE0186">
        <w:rPr>
          <w:rFonts w:ascii="Times New Roman" w:hAnsi="Times New Roman" w:cs="Times New Roman"/>
          <w:i/>
        </w:rPr>
        <w:t>ex vivo</w:t>
      </w:r>
      <w:r w:rsidRPr="00AE0186">
        <w:rPr>
          <w:rFonts w:ascii="Times New Roman" w:hAnsi="Times New Roman" w:cs="Times New Roman"/>
        </w:rPr>
        <w:t xml:space="preserve"> tissue samples. </w:t>
      </w:r>
    </w:p>
    <w:p w14:paraId="30F69F51"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Materials &amp; Methods</w:t>
      </w:r>
    </w:p>
    <w:p w14:paraId="004AAB5D"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Tumour model and therapeutics</w:t>
      </w:r>
    </w:p>
    <w:p w14:paraId="4B9CC675" w14:textId="35DC9F17" w:rsidR="00AE0186" w:rsidRPr="00AE0186" w:rsidRDefault="007856E8" w:rsidP="00AE0186">
      <w:pPr>
        <w:spacing w:line="240" w:lineRule="auto"/>
        <w:jc w:val="both"/>
        <w:rPr>
          <w:rFonts w:ascii="Times New Roman" w:hAnsi="Times New Roman" w:cs="Times New Roman"/>
        </w:rPr>
      </w:pPr>
      <w:r>
        <w:rPr>
          <w:rFonts w:ascii="Times New Roman" w:hAnsi="Times New Roman" w:cs="Times New Roman"/>
        </w:rPr>
        <w:t>Samples from the h</w:t>
      </w:r>
      <w:r w:rsidR="00AE0186" w:rsidRPr="00AE0186">
        <w:rPr>
          <w:rFonts w:ascii="Times New Roman" w:hAnsi="Times New Roman" w:cs="Times New Roman"/>
        </w:rPr>
        <w:t>uman small intestine neuroendocrine tumour</w:t>
      </w:r>
      <w:r>
        <w:rPr>
          <w:rFonts w:ascii="Times New Roman" w:hAnsi="Times New Roman" w:cs="Times New Roman"/>
        </w:rPr>
        <w:t xml:space="preserve"> model (</w:t>
      </w:r>
      <w:r w:rsidR="00AE0186" w:rsidRPr="00AE0186">
        <w:rPr>
          <w:rFonts w:ascii="Times New Roman" w:hAnsi="Times New Roman" w:cs="Times New Roman"/>
        </w:rPr>
        <w:t xml:space="preserve">GOT1 </w:t>
      </w:r>
      <w:r w:rsidR="002C37A7">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{"citationItems":[{"id":"ITEM-1","itemData":{"DOI":"10.1016/S0002-9440(10)64017-5","ISSN":"00029440","PMID":"11159212","abstract":"A human midgut carcinoid tumor was successfully transplanted into nude mice and propagated for five consecutive generations (30 months) with well-preserved phenotype. Tumor cells in nude mice expressed identical neuroendocrine markers as the original tumor, including somatostatin receptors (somatostatin receptors 1 to 5) and vesicular monoamine transporters (VMAT1 and VMAT2). Because of the expression of somatostatin receptors and VMAT1 and VMAT2 the grafted tumors could be visualized scintigraphically using the somatostatin analogue 111In-octreotide and the catecholamine analogue 123I-metaiodobenzylguanidine. The biokinetics of the somatostatin analogue 111In-octreotide in the tumors was studied and showed a high retention 7 days after administration. Cell cultures were re-established from transplanted tumors. Immunocytochemical and ultrastructural studies confirmed the neuroendocrine differentiation. The human origin of transplanted tumor cells was confirmed by cytogenetic and fluorescence it situ hybridization analyses. Spontaneous secretion of serotonin and its metabolite, 5-hydroxyindole acetic acid, from tumor cells was demonstrated. The tumor cells increased their [Ca2+]i in response to beta-adrenoceptor stimulation (isoproterenol) and K+-depolarization. All somatostatin receptor subtypes could be demonstrated in cultured cells. This human transplantable carcinoid tumor, designated GOT1, grafted to nude mice, will give unique possibilities for studies of somatostatin receptor- and VMAT-mediated radionuclide uptake as well as for studies of secretory mechanisms.","author":[{"dropping-particle":"","family":"Kölby","given":"Lars","non-dropping-particle":"","parse-names":false,"suffix":""},{"dropping-particle":"","family":"Bernhardt","given":"Peter","non-dropping-particle":"","parse-names":false,"suffix":""},{"dropping-particle":"","family":"Ahlman","given":"Håkan","non-dropping-particle":"","parse-names":false,"suffix":""},{"dropping-particle":"","family":"Wängberg","given":"Bo","non-dropping-particle":"","parse-names":false,"suffix":""},{"dropping-particle":"","family":"Johanson","given":"Viktor","non-dropping-particle":"","parse-names":false,"suffix":""},{"dropping-particle":"","family":"Wigander","given":"Annelie","non-dropping-particle":"","parse-names":false,"suffix":""},{"dropping-particle":"","family":"Forssell-Aronsson","given":"Eva","non-dropping-particle":"","parse-names":false,"suffix":""},{"dropping-particle":"","family":"Karlsson","given":"Sven","non-dropping-particle":"","parse-names":false,"suffix":""},{"dropping-particle":"","family":"Ahrén","given":"Bo","non-dropping-particle":"","parse-names":false,"suffix":""},{"dropping-particle":"","family":"Stenman","given":"Göran","non-dropping-particle":"","parse-names":false,"suffix":""},{"dropping-particle":"","family":"Nilsson","given":"Ola","non-dropping-particle":"","parse-names":false,"suffix":""}],"container-title":"The American Journal of Pathology","id":"ITEM-1","issue":"2","issued":{"date-parts":[["2001","2"]]},"page":"745-755","title":"A Transplantable Human Carcinoid as Model for Somatostatin Receptor-Mediated and Amine Transporter-Mediated Radionuclide Uptake","type":"article-journal","volume":"158"},"uris":["http://www.mendeley.com/documents/?uuid=01043d2f-860c-3b08-948c-35c356ebdc94"]}],"mendeley":{"formattedCitation":"&lt;sup&gt;15&lt;/sup&gt;","plainTextFormattedCitation":"15","previouslyFormattedCitation":"&lt;sup&gt;15&lt;/sup&gt;"},"properties":{"noteIndex":0},"schema":"https://github.com/citation-style-language/schema/raw/master/csl-citation.json"}</w:instrText>
      </w:r>
      <w:r w:rsidR="002C37A7">
        <w:rPr>
          <w:rFonts w:ascii="Times New Roman" w:hAnsi="Times New Roman" w:cs="Times New Roman"/>
        </w:rPr>
        <w:fldChar w:fldCharType="separate"/>
      </w:r>
      <w:r w:rsidR="00A17C25" w:rsidRPr="00A17C25">
        <w:rPr>
          <w:rFonts w:ascii="Times New Roman" w:hAnsi="Times New Roman" w:cs="Times New Roman"/>
          <w:noProof/>
          <w:vertAlign w:val="superscript"/>
        </w:rPr>
        <w:t>15</w:t>
      </w:r>
      <w:r w:rsidR="002C37A7">
        <w:rPr>
          <w:rFonts w:ascii="Times New Roman" w:hAnsi="Times New Roman" w:cs="Times New Roman"/>
        </w:rPr>
        <w:fldChar w:fldCharType="end"/>
      </w:r>
      <w:r>
        <w:rPr>
          <w:rFonts w:ascii="Times New Roman" w:hAnsi="Times New Roman" w:cs="Times New Roman"/>
        </w:rPr>
        <w:t>)</w:t>
      </w:r>
      <w:r w:rsidR="00AE0186" w:rsidRPr="00AE0186">
        <w:rPr>
          <w:rFonts w:ascii="Times New Roman" w:hAnsi="Times New Roman" w:cs="Times New Roman"/>
        </w:rPr>
        <w:t xml:space="preserve"> were </w:t>
      </w:r>
      <w:r w:rsidR="00216CF1">
        <w:rPr>
          <w:rFonts w:ascii="Times New Roman" w:hAnsi="Times New Roman" w:cs="Times New Roman"/>
        </w:rPr>
        <w:t xml:space="preserve">xenografted </w:t>
      </w:r>
      <w:r w:rsidR="00AE0186" w:rsidRPr="00AE0186">
        <w:rPr>
          <w:rFonts w:ascii="Times New Roman" w:hAnsi="Times New Roman" w:cs="Times New Roman"/>
        </w:rPr>
        <w:t>subcutaneously on female BALB/c nude mice (</w:t>
      </w:r>
      <w:r w:rsidR="004A77AC">
        <w:rPr>
          <w:rFonts w:ascii="Times New Roman" w:hAnsi="Times New Roman" w:cs="Times New Roman"/>
        </w:rPr>
        <w:t xml:space="preserve">n = </w:t>
      </w:r>
      <w:r w:rsidR="004A77AC" w:rsidRPr="00235085">
        <w:rPr>
          <w:rFonts w:ascii="Times New Roman" w:hAnsi="Times New Roman" w:cs="Times New Roman"/>
        </w:rPr>
        <w:t>21</w:t>
      </w:r>
      <w:r w:rsidR="00FA788F">
        <w:rPr>
          <w:rFonts w:ascii="Times New Roman" w:hAnsi="Times New Roman" w:cs="Times New Roman"/>
        </w:rPr>
        <w:t xml:space="preserve">, </w:t>
      </w:r>
      <w:r w:rsidR="00AE0186" w:rsidRPr="00AE0186">
        <w:rPr>
          <w:rFonts w:ascii="Times New Roman" w:hAnsi="Times New Roman" w:cs="Times New Roman"/>
        </w:rPr>
        <w:t xml:space="preserve">Charles River, Japan and Germany) that were fed with a standard diet and water </w:t>
      </w:r>
      <w:r w:rsidR="00AE0186" w:rsidRPr="00AE0186">
        <w:rPr>
          <w:rFonts w:ascii="Times New Roman" w:hAnsi="Times New Roman" w:cs="Times New Roman"/>
          <w:i/>
          <w:iCs/>
        </w:rPr>
        <w:t>ad libitum.</w:t>
      </w:r>
      <w:r w:rsidR="00AE0186" w:rsidRPr="00AE0186">
        <w:rPr>
          <w:rFonts w:ascii="Times New Roman" w:hAnsi="Times New Roman" w:cs="Times New Roman"/>
          <w:iCs/>
        </w:rPr>
        <w:t xml:space="preserve"> </w:t>
      </w:r>
      <w:r w:rsidR="0022124B">
        <w:rPr>
          <w:rFonts w:ascii="Times New Roman" w:hAnsi="Times New Roman" w:cs="Times New Roman"/>
          <w:iCs/>
        </w:rPr>
        <w:t xml:space="preserve">Each animal grew one tumour in the neck region, </w:t>
      </w:r>
      <w:r w:rsidR="00235085">
        <w:rPr>
          <w:rFonts w:ascii="Times New Roman" w:hAnsi="Times New Roman" w:cs="Times New Roman"/>
          <w:iCs/>
        </w:rPr>
        <w:t xml:space="preserve">which will be referred to as tumour 1 for animal 1, tumour 2 for animal 2, etc., and as </w:t>
      </w:r>
      <w:r w:rsidR="00AE0186" w:rsidRPr="00AE0186">
        <w:rPr>
          <w:rFonts w:ascii="Times New Roman" w:hAnsi="Times New Roman" w:cs="Times New Roman"/>
          <w:iCs/>
        </w:rPr>
        <w:t xml:space="preserve">tumours reached 10-20 mm in diameter, 15 MBq </w:t>
      </w:r>
      <w:r w:rsidR="00AE0186" w:rsidRPr="00AE0186">
        <w:rPr>
          <w:rFonts w:ascii="Times New Roman" w:hAnsi="Times New Roman" w:cs="Times New Roman"/>
          <w:szCs w:val="24"/>
          <w:vertAlign w:val="superscript"/>
        </w:rPr>
        <w:t>177</w:t>
      </w:r>
      <w:r w:rsidR="00AE0186" w:rsidRPr="00AE0186">
        <w:rPr>
          <w:rFonts w:ascii="Times New Roman" w:hAnsi="Times New Roman" w:cs="Times New Roman"/>
          <w:szCs w:val="24"/>
        </w:rPr>
        <w:t>Lu-octreotate</w:t>
      </w:r>
      <w:r w:rsidR="00AE0186" w:rsidRPr="00AE0186">
        <w:rPr>
          <w:rFonts w:ascii="Times New Roman" w:hAnsi="Times New Roman" w:cs="Times New Roman"/>
        </w:rPr>
        <w:t xml:space="preserve"> (specific activity: 26 MBq/µg octreotate, IDB Holland, the Netherlands) </w:t>
      </w:r>
      <w:r w:rsidR="00AE0186" w:rsidRPr="00AE0186">
        <w:rPr>
          <w:rFonts w:ascii="Times New Roman" w:hAnsi="Times New Roman" w:cs="Times New Roman"/>
          <w:iCs/>
        </w:rPr>
        <w:t xml:space="preserve">was </w:t>
      </w:r>
      <w:r w:rsidR="00AE0186" w:rsidRPr="00AE0186">
        <w:rPr>
          <w:rFonts w:ascii="Times New Roman" w:hAnsi="Times New Roman" w:cs="Times New Roman"/>
          <w:i/>
          <w:iCs/>
        </w:rPr>
        <w:t>i.v</w:t>
      </w:r>
      <w:r w:rsidR="00AE0186" w:rsidRPr="00AE0186">
        <w:rPr>
          <w:rFonts w:ascii="Times New Roman" w:hAnsi="Times New Roman" w:cs="Times New Roman"/>
          <w:iCs/>
        </w:rPr>
        <w:t>. injected,</w:t>
      </w:r>
      <w:r w:rsidR="00AE0186" w:rsidRPr="00AE0186" w:rsidDel="00A46EB2">
        <w:rPr>
          <w:rFonts w:ascii="Times New Roman" w:hAnsi="Times New Roman" w:cs="Times New Roman"/>
        </w:rPr>
        <w:t xml:space="preserve"> </w:t>
      </w:r>
      <w:r w:rsidR="00AE0186" w:rsidRPr="00AE0186">
        <w:rPr>
          <w:rFonts w:ascii="Times New Roman" w:hAnsi="Times New Roman" w:cs="Times New Roman"/>
        </w:rPr>
        <w:t xml:space="preserve">resulting in an absorbed dose to tumour of approximately 4 Gy </w:t>
      </w:r>
      <w:r w:rsidR="002C37A7">
        <w:rPr>
          <w:rFonts w:ascii="Times New Roman" w:hAnsi="Times New Roman" w:cs="Times New Roman"/>
        </w:rPr>
        <w:t>(cf.</w:t>
      </w:r>
      <w:r w:rsidR="00216CF1">
        <w:rPr>
          <w:rFonts w:ascii="Times New Roman" w:hAnsi="Times New Roman" w:cs="Times New Roman"/>
        </w:rPr>
        <w:t xml:space="preserve"> </w:t>
      </w:r>
      <w:r w:rsidR="002C37A7">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{"citationItems":[{"id":"ITEM-1","itemData":{"DOI":"10.1186/s13550-016-0247-y","ISSN":"2191219X","abstract":"© 2016, The Author(s). Background:  177 Lu-[DOTA 0 , Tyr 3 ]-octreotate ( 177 Lu-octreotate) is used for treatment of patients with somatostatin receptor (SSTR) expressing neuroendocrine tumors. However, complete tumor remission is rarely seen, and optimization of treatment protocols is needed. In vitro studies have shown that irradiation can up-regulate the expression of SSTR1, 2 and 5, and increase  177 Lu-octreotate uptake. The aim of the present study was to examine the anti-tumor effect of a  177 Lu-octreotate priming dose followed 24 h later by a second injection of  177 Lu-octreotate compared to a single administration of  177 Lu-octreotate, performed on the human small intestine neuroendocrine tumor cell line, GOT1, transplanted to nude mice. Results: Priming resulted in a 1.9 times higher mean absorbed dose to the tumor tissue per administered activity, together with a reduced mean absorbed dose for kidneys. Priming gave the best overall anti-tumor effects. Magnetic resonance imaging showed no statistically significant difference in tumor response between treatment with and without priming. Gene expression analysis demonstrated effects on cell cycle regulation. Biological processes associated with apoptotic cell death were highly affected in the biodistribution and dosimetry study, via differential regulation of, e.g., APOE, BAX, CDKN1A, and GADD45A. Conclusions: Priming had the best overall anti-tumor effects and also resulted in an increased therapeutic window. Results indicate that potential biomarkers for tumor regrowth may be found in the p53 or JNK signaling pathways. Priming administration is an interesting optimization strategy for  177 Lu-octreotate therapy of neuroendocrine tumors, and further studies should be performed to determine the mechanisms responsible for the reported effects.","author":[{"dropping-particle":"","family":"Dalmo","given":"J.","non-dropping-particle":"","parse-names":false,"suffix":""},{"dropping-particle":"","family":"Spetz","given":"J.","non-dropping-particle":"","parse-names":false,"suffix":""},{"dropping-particle":"","family":"Montelius","given":"M.","non-dropping-particle":"","parse-names":false,"suffix":""},{"dropping-particle":"","family":"Langen","given":"B.","non-dropping-particle":"","parse-names":false,"suffix":""},{"dropping-particle":"","family":"Arvidsson","given":"Y.","non-dropping-particle":"","parse-names":false,"suffix":""},{"dropping-particle":"","family":"Johansson","given":"H.","non-dropping-particle":"","parse-names":false,"suffix":""},{"dropping-particle":"","family":"Parris","given":"T.Z.","non-dropping-particle":"","parse-names":false,"suffix":""},{"dropping-particle":"","family":"Helou","given":"K.","non-dropping-particle":"","parse-names":false,"suffix":""},{"dropping-particle":"","family":"Wängberg","given":"B.","non-dropping-particle":"","parse-names":false,"suffix":""},{"dropping-particle":"","family":"Nilsson","given":"O.","non-dropping-particle":"","parse-names":false,"suffix":""},{"dropping-particle":"","family":"Ljungberg","given":"M.","non-dropping-particle":"","parse-names":false,"suffix":""},{"dropping-particle":"","family":"Forssell-Aronsson","given":"E.","non-dropping-particle":"","parse-names":false,"suffix":""}],"container-title":"EJNMMI Research","id":"ITEM-1","issue":"1","issued":{"date-parts":[["2017"]]},"title":"Priming increases the anti-tumor effect and therapeutic window of &lt;sup&gt;177&lt;/sup&gt;Lu-octreotate in nude mice bearing human small intestine neuroendocrine tumor GOT1","type":"article-journal","volume":"7"},"uris":["http://www.mendeley.com/documents/?uuid=76765a13-d58c-35e0-bd8a-31e42d17976e"]}],"mendeley":{"formattedCitation":"&lt;sup&gt;16&lt;/sup&gt;","plainTextFormattedCitation":"16","previouslyFormattedCitation":"&lt;sup&gt;16&lt;/sup&gt;"},"properties":{"noteIndex":0},"schema":"https://github.com/citation-style-language/schema/raw/master/csl-citation.json"}</w:instrText>
      </w:r>
      <w:r w:rsidR="002C37A7">
        <w:rPr>
          <w:rFonts w:ascii="Times New Roman" w:hAnsi="Times New Roman" w:cs="Times New Roman"/>
        </w:rPr>
        <w:fldChar w:fldCharType="separate"/>
      </w:r>
      <w:r w:rsidR="00A17C25" w:rsidRPr="00A17C25">
        <w:rPr>
          <w:rFonts w:ascii="Times New Roman" w:hAnsi="Times New Roman" w:cs="Times New Roman"/>
          <w:noProof/>
          <w:vertAlign w:val="superscript"/>
        </w:rPr>
        <w:t>16</w:t>
      </w:r>
      <w:r w:rsidR="002C37A7">
        <w:rPr>
          <w:rFonts w:ascii="Times New Roman" w:hAnsi="Times New Roman" w:cs="Times New Roman"/>
        </w:rPr>
        <w:fldChar w:fldCharType="end"/>
      </w:r>
      <w:r w:rsidR="002C37A7">
        <w:rPr>
          <w:rFonts w:ascii="Times New Roman" w:hAnsi="Times New Roman" w:cs="Times New Roman"/>
        </w:rPr>
        <w:t>)</w:t>
      </w:r>
      <w:r w:rsidR="00AE0186" w:rsidRPr="00AE0186">
        <w:rPr>
          <w:rFonts w:ascii="Times New Roman" w:hAnsi="Times New Roman" w:cs="Times New Roman"/>
        </w:rPr>
        <w:t>.</w:t>
      </w:r>
      <w:r w:rsidR="00FA788F">
        <w:rPr>
          <w:rFonts w:ascii="Times New Roman" w:hAnsi="Times New Roman" w:cs="Times New Roman"/>
        </w:rPr>
        <w:t xml:space="preserve"> </w:t>
      </w:r>
      <w:r w:rsidR="00EE1CFE">
        <w:rPr>
          <w:rFonts w:ascii="Times New Roman" w:hAnsi="Times New Roman" w:cs="Times New Roman"/>
        </w:rPr>
        <w:t xml:space="preserve">The </w:t>
      </w:r>
      <w:r w:rsidR="00264E16">
        <w:rPr>
          <w:rFonts w:ascii="Times New Roman" w:hAnsi="Times New Roman" w:cs="Times New Roman"/>
        </w:rPr>
        <w:t>initial 21 animals</w:t>
      </w:r>
      <w:r w:rsidR="00EE1CFE">
        <w:rPr>
          <w:rFonts w:ascii="Times New Roman" w:hAnsi="Times New Roman" w:cs="Times New Roman"/>
        </w:rPr>
        <w:t xml:space="preserve"> were included in our mpMR project</w:t>
      </w:r>
      <w:r w:rsidR="00264E16">
        <w:rPr>
          <w:rFonts w:ascii="Times New Roman" w:hAnsi="Times New Roman" w:cs="Times New Roman"/>
        </w:rPr>
        <w:t>,</w:t>
      </w:r>
      <w:r w:rsidR="00EE1CFE">
        <w:rPr>
          <w:rFonts w:ascii="Times New Roman" w:hAnsi="Times New Roman" w:cs="Times New Roman"/>
        </w:rPr>
        <w:t xml:space="preserve"> including studies on the longitudinal behaviour of MR-derived tissue parameters in response to therapy</w:t>
      </w:r>
      <w:r w:rsidR="0024530C">
        <w:rPr>
          <w:rFonts w:ascii="Times New Roman" w:hAnsi="Times New Roman" w:cs="Times New Roman"/>
        </w:rPr>
        <w:t xml:space="preserve"> </w:t>
      </w:r>
      <w:r w:rsidR="00FA788F">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{"citationItems":[{"id":"ITEM-1","itemData":{"DOI":"10.1016/j.tranon.2017.12.003","ISSN":"19365233","abstract":"© 2017 The Authors Magnetic resonance (MR) methods enable noninvasive, regional tumor therapy response assessment, but associations between MR parameters, underlying biology, and therapeutic effects must be investigated. The aim of this study was to investigate response assessment efficacy and biological associations of MR parameters in a neuroendocrine tumor (NET) model subjected to radionuclide treatment. Twenty-one mice with NETs received 177 Lu-octreotate at day 0. MR experiments (day −1, 1, 3, 8, and 13) included T2-weighted, dynamic contrast-enhanced (DCE) and diffusion-weighted imaging (DWI) and relaxation measurements (T1/T2*). Tumor tissue was analyzed using proteomics. MR-derived parameters were evaluated for each examination day and for different radial distances from the tumor center. Response assessment efficacy and biological associations were evaluated using feature selection and protein expression correlations, respectively. Reduced tumor growth rate or shrinkage was observed until day 8, followed by reestablished growth in most tumors. The most important MR parameter for response prediction was DCE-MRI–derived pretreatment signal enhancement ratio (SER) at 40% to 60% radial distance, where it correlated significantly also with centrally sampled protein CCD89 (association: DNA damage and repair, proliferation, cell cycle arrest). The second most important was changed diffusion (D) between day −1 and day 3, at 60% to 80% radial distance, where it correlated significantly also with peripherally sampled protein CATA (association: oxidative stress, proliferation, cell cycle arrest, apoptotic cell death). Important information regarding tumor biology in response to radionuclide therapy is reflected in several MR parameters, SER and D in particular. The spatial and temporal information provided by MR methods increases the sensitivity for tumor therapy response.","author":[{"dropping-particle":"","family":"Montelius","given":"M.","non-dropping-particle":"","parse-names":false,"suffix":""},{"dropping-particle":"","family":"Spetz","given":"J.","non-dropping-particle":"","parse-names":false,"suffix":""},{"dropping-particle":"","family":"Jalnefjord","given":"O.","non-dropping-particle":"","parse-names":false,"suffix":""},{"dropping-particle":"","family":"Berger","given":"E.","non-dropping-particle":"","parse-names":false,"suffix":""},{"dropping-particle":"","family":"Nilsson","given":"O.","non-dropping-particle":"","parse-names":false,"suffix":""},{"dropping-particle":"","family":"Ljungberg","given":"M.","non-dropping-particle":"","parse-names":false,"suffix":""},{"dropping-particle":"","family":"Forssell-Aronsson","given":"E.","non-dropping-particle":"","parse-names":false,"suffix":""}],"container-title":"Translational Oncology","id":"ITEM-1","issue":"2","issued":{"date-parts":[["2018"]]},"title":"Identification of Potential MR-Derived Biomarkers for Tumor Tissue Response to&lt;sup&gt;177&lt;/sup&gt;Lu-Octreotate Therapy in an Animal Model of Small Intestine Neuroendocrine Tumor","type":"article-journal","volume":"11"},"uris":["http://www.mendeley.com/documents/?uuid=69b3d9c0-6e77-3b2b-9e99-dc57166cfb40"]}],"mendeley":{"formattedCitation":"&lt;sup&gt;4&lt;/sup&gt;","plainTextFormattedCitation":"4","previouslyFormattedCitation":"&lt;sup&gt;4&lt;/sup&gt;"},"properties":{"noteIndex":0},"schema":"https://github.com/citation-style-language/schema/raw/master/csl-citation.json"}</w:instrText>
      </w:r>
      <w:r w:rsidR="00FA788F">
        <w:rPr>
          <w:rFonts w:ascii="Times New Roman" w:hAnsi="Times New Roman" w:cs="Times New Roman"/>
        </w:rPr>
        <w:fldChar w:fldCharType="separate"/>
      </w:r>
      <w:r w:rsidR="00A17C25" w:rsidRPr="00A17C25">
        <w:rPr>
          <w:rFonts w:ascii="Times New Roman" w:hAnsi="Times New Roman" w:cs="Times New Roman"/>
          <w:noProof/>
          <w:vertAlign w:val="superscript"/>
        </w:rPr>
        <w:t>4</w:t>
      </w:r>
      <w:r w:rsidR="00FA788F">
        <w:rPr>
          <w:rFonts w:ascii="Times New Roman" w:hAnsi="Times New Roman" w:cs="Times New Roman"/>
        </w:rPr>
        <w:fldChar w:fldCharType="end"/>
      </w:r>
      <w:r w:rsidR="0024530C">
        <w:rPr>
          <w:rFonts w:ascii="Times New Roman" w:hAnsi="Times New Roman" w:cs="Times New Roman"/>
        </w:rPr>
        <w:t xml:space="preserve"> and optimization of image post processing techniques </w:t>
      </w:r>
      <w:r w:rsidR="0024530C">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{"citationItems":[{"id":"ITEM-1","itemData":{"DOI":"10.1002/mrm.26783","ISSN":"15222594","abstract":"© 2017 International Society for Magnetic Resonance in Medicine. Purpose: Bayesian model fitting has been proposed as a robust alternative for intravoxel incoherent motion (IVIM) model-fitting parameter estimation. However, consensus regarding choice of prior distribution and posterior distribution central tendency measure is needed. The aim of this study was to compare the quality of IVIM parameter estimates produced by different prior distributions and central tendency measures, and to gain knowledge about the effect of these choices. Methods: Three prior distributions (uniform, reciprocal, and lognormal) and two measures of central tendency (mean and mode) found in the literature were studied using simulations and in vivo data from a tumor mouse model. Results: Simulations showed that the uniform and lognormal priors were superior to the reciprocal prior, especially for the parameters D and f and clinically relevant SNR levels. The choice of central tendency measure had less effect on the results, but had some effects on estimation bias. Results based on simulations and in vivo data agreed well, indicating high validity of the simulations. Conclusions: Choice of prior distribution and central tendency measure affects the results of Bayesian IVIM parameter estimates. This must be considered when comparing results from different studies. The best overall quality of IVIM parameter estimates was obtained using the lognormal prior.","author":[{"dropping-particle":"","family":"Gustafsson","given":"O.","non-dropping-particle":"","parse-names":false,"suffix":""},{"dropping-particle":"","family":"Montelius","given":"M.","non-dropping-particle":"","parse-names":false,"suffix":""},{"dropping-particle":"","family":"Starck","given":"G.","non-dropping-particle":"","parse-names":false,"suffix":""},{"dropping-particle":"","family":"Ljungberg","given":"M.","non-dropping-particle":"","parse-names":false,"suffix":""}],"container-title":"Magnetic Resonance in Medicine","id":"ITEM-1","issued":{"date-parts":[["2017"]]},"title":"Impact of prior distributions and central tendency measures on Bayesian intravoxel incoherent motion model fitting","type":"article-journal"},"uris":["http://www.mendeley.com/documents/?uuid=ba5297b2-e58e-366d-9463-e5edfafe3a8b"]}],"mendeley":{"formattedCitation":"&lt;sup&gt;17&lt;/sup&gt;","plainTextFormattedCitation":"17","previouslyFormattedCitation":"&lt;sup&gt;17&lt;/sup&gt;"},"properties":{"noteIndex":0},"schema":"https://github.com/citation-style-language/schema/raw/master/csl-citation.json"}</w:instrText>
      </w:r>
      <w:r w:rsidR="0024530C">
        <w:rPr>
          <w:rFonts w:ascii="Times New Roman" w:hAnsi="Times New Roman" w:cs="Times New Roman"/>
        </w:rPr>
        <w:fldChar w:fldCharType="separate"/>
      </w:r>
      <w:r w:rsidR="00A17C25" w:rsidRPr="00A17C25">
        <w:rPr>
          <w:rFonts w:ascii="Times New Roman" w:hAnsi="Times New Roman" w:cs="Times New Roman"/>
          <w:noProof/>
          <w:vertAlign w:val="superscript"/>
        </w:rPr>
        <w:t>17</w:t>
      </w:r>
      <w:r w:rsidR="0024530C">
        <w:rPr>
          <w:rFonts w:ascii="Times New Roman" w:hAnsi="Times New Roman" w:cs="Times New Roman"/>
        </w:rPr>
        <w:fldChar w:fldCharType="end"/>
      </w:r>
      <w:r w:rsidR="00264E16">
        <w:rPr>
          <w:rFonts w:ascii="Times New Roman" w:hAnsi="Times New Roman" w:cs="Times New Roman"/>
        </w:rPr>
        <w:t>,</w:t>
      </w:r>
      <w:r w:rsidR="00EE1CFE">
        <w:rPr>
          <w:rFonts w:ascii="Times New Roman" w:hAnsi="Times New Roman" w:cs="Times New Roman"/>
        </w:rPr>
        <w:t xml:space="preserve"> both with different specific aims and results. Based on inclusion criteria described below, </w:t>
      </w:r>
      <w:r w:rsidR="00264E16">
        <w:rPr>
          <w:rFonts w:ascii="Times New Roman" w:hAnsi="Times New Roman" w:cs="Times New Roman"/>
        </w:rPr>
        <w:t xml:space="preserve">n = 5 </w:t>
      </w:r>
      <w:r w:rsidR="00DF13C5">
        <w:rPr>
          <w:rFonts w:ascii="Times New Roman" w:hAnsi="Times New Roman" w:cs="Times New Roman"/>
        </w:rPr>
        <w:t xml:space="preserve">animals </w:t>
      </w:r>
      <w:r w:rsidR="00264E16">
        <w:rPr>
          <w:rFonts w:ascii="Times New Roman" w:hAnsi="Times New Roman" w:cs="Times New Roman"/>
        </w:rPr>
        <w:t xml:space="preserve">were </w:t>
      </w:r>
      <w:r w:rsidR="003C4BE1">
        <w:rPr>
          <w:rFonts w:ascii="Times New Roman" w:hAnsi="Times New Roman" w:cs="Times New Roman"/>
        </w:rPr>
        <w:t xml:space="preserve">evaluated </w:t>
      </w:r>
      <w:r w:rsidR="00FA788F">
        <w:rPr>
          <w:rFonts w:ascii="Times New Roman" w:hAnsi="Times New Roman" w:cs="Times New Roman"/>
        </w:rPr>
        <w:t>in the current study</w:t>
      </w:r>
      <w:r w:rsidR="003C4BE1">
        <w:rPr>
          <w:rFonts w:ascii="Times New Roman" w:hAnsi="Times New Roman" w:cs="Times New Roman"/>
        </w:rPr>
        <w:t xml:space="preserve">. </w:t>
      </w:r>
    </w:p>
    <w:p w14:paraId="58764EC5"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The Gothenburg Ethical Committee on Animal Research approved this study.</w:t>
      </w:r>
      <w:r w:rsidRPr="00AE0186" w:rsidDel="00092635">
        <w:rPr>
          <w:rFonts w:ascii="Times New Roman" w:hAnsi="Times New Roman" w:cs="Times New Roman"/>
        </w:rPr>
        <w:t xml:space="preserve"> </w:t>
      </w:r>
    </w:p>
    <w:p w14:paraId="4DB8C2BE"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 xml:space="preserve">Overall experimental setup </w:t>
      </w:r>
    </w:p>
    <w:p w14:paraId="277E511C" w14:textId="745667D2" w:rsidR="006B5DA0" w:rsidRDefault="00AE0186" w:rsidP="00AE0186">
      <w:pPr>
        <w:spacing w:line="240" w:lineRule="auto"/>
        <w:jc w:val="both"/>
        <w:rPr>
          <w:rFonts w:ascii="Times New Roman" w:hAnsi="Times New Roman" w:cs="Times New Roman"/>
        </w:rPr>
      </w:pPr>
      <w:r w:rsidRPr="00AE0186">
        <w:rPr>
          <w:rFonts w:ascii="Times New Roman" w:hAnsi="Times New Roman" w:cs="Times New Roman"/>
        </w:rPr>
        <w:lastRenderedPageBreak/>
        <w:t xml:space="preserve">In order to correlate MRI data with a broad range of biological response effects rather than with effects from therapeutic doses, and thereby increase the biological variability of the investigated parameters, we used a non-curative amount of </w:t>
      </w:r>
      <w:r w:rsidRPr="00AE0186">
        <w:rPr>
          <w:rFonts w:ascii="Times New Roman" w:hAnsi="Times New Roman" w:cs="Times New Roman"/>
          <w:vertAlign w:val="superscript"/>
        </w:rPr>
        <w:t>177</w:t>
      </w:r>
      <w:r w:rsidRPr="00AE0186">
        <w:rPr>
          <w:rFonts w:ascii="Times New Roman" w:hAnsi="Times New Roman" w:cs="Times New Roman"/>
        </w:rPr>
        <w:t>Lu-octreotate (15 MBq)</w:t>
      </w:r>
      <w:r w:rsidR="006B5DA0">
        <w:rPr>
          <w:rFonts w:ascii="Times New Roman" w:hAnsi="Times New Roman" w:cs="Times New Roman"/>
        </w:rPr>
        <w:t xml:space="preserve"> and</w:t>
      </w:r>
      <w:r w:rsidR="0077222B">
        <w:rPr>
          <w:rFonts w:ascii="Times New Roman" w:hAnsi="Times New Roman" w:cs="Times New Roman"/>
        </w:rPr>
        <w:t xml:space="preserve"> also</w:t>
      </w:r>
      <w:r w:rsidR="006B5DA0">
        <w:rPr>
          <w:rFonts w:ascii="Times New Roman" w:hAnsi="Times New Roman" w:cs="Times New Roman"/>
        </w:rPr>
        <w:t xml:space="preserve"> included data from different time points after treatment</w:t>
      </w:r>
      <w:r w:rsidRPr="00AE0186">
        <w:rPr>
          <w:rFonts w:ascii="Times New Roman" w:hAnsi="Times New Roman" w:cs="Times New Roman"/>
        </w:rPr>
        <w:t xml:space="preserve">. </w:t>
      </w:r>
    </w:p>
    <w:p w14:paraId="2B3E2246" w14:textId="45EF7580" w:rsidR="00B83061" w:rsidRDefault="00B83061" w:rsidP="008D50F9">
      <w:pPr>
        <w:spacing w:line="240" w:lineRule="auto"/>
        <w:jc w:val="both"/>
        <w:rPr>
          <w:rFonts w:ascii="Times New Roman" w:hAnsi="Times New Roman" w:cs="Times New Roman"/>
        </w:rPr>
      </w:pPr>
      <w:r>
        <w:rPr>
          <w:rFonts w:ascii="Times New Roman" w:hAnsi="Times New Roman" w:cs="Times New Roman"/>
        </w:rPr>
        <w:t>Imaging experiments</w:t>
      </w:r>
      <w:r w:rsidR="008D50F9">
        <w:rPr>
          <w:rFonts w:ascii="Times New Roman" w:hAnsi="Times New Roman" w:cs="Times New Roman"/>
        </w:rPr>
        <w:t xml:space="preserve"> including the methods mentioned in </w:t>
      </w:r>
      <w:r w:rsidR="002432F5">
        <w:rPr>
          <w:rFonts w:ascii="Times New Roman" w:hAnsi="Times New Roman" w:cs="Times New Roman"/>
        </w:rPr>
        <w:t>Table 1</w:t>
      </w:r>
      <w:r>
        <w:rPr>
          <w:rFonts w:ascii="Times New Roman" w:hAnsi="Times New Roman" w:cs="Times New Roman"/>
        </w:rPr>
        <w:t xml:space="preserve"> were conducted </w:t>
      </w:r>
      <w:r w:rsidR="008D50F9">
        <w:rPr>
          <w:rFonts w:ascii="Times New Roman" w:hAnsi="Times New Roman" w:cs="Times New Roman"/>
        </w:rPr>
        <w:t xml:space="preserve">on </w:t>
      </w:r>
      <w:r>
        <w:rPr>
          <w:rFonts w:ascii="Times New Roman" w:hAnsi="Times New Roman" w:cs="Times New Roman"/>
        </w:rPr>
        <w:t>day -1, 1,</w:t>
      </w:r>
      <w:r w:rsidR="00462B98">
        <w:rPr>
          <w:rFonts w:ascii="Times New Roman" w:hAnsi="Times New Roman" w:cs="Times New Roman"/>
        </w:rPr>
        <w:t xml:space="preserve"> 3, 8 and 13 after treatment (</w:t>
      </w:r>
      <w:r>
        <w:rPr>
          <w:rFonts w:ascii="Times New Roman" w:hAnsi="Times New Roman" w:cs="Times New Roman"/>
        </w:rPr>
        <w:t>day 0</w:t>
      </w:r>
      <w:r w:rsidR="00462B98">
        <w:rPr>
          <w:rFonts w:ascii="Times New Roman" w:hAnsi="Times New Roman" w:cs="Times New Roman"/>
        </w:rPr>
        <w:t>)</w:t>
      </w:r>
      <w:r w:rsidR="008D50F9">
        <w:rPr>
          <w:rFonts w:ascii="Times New Roman" w:hAnsi="Times New Roman" w:cs="Times New Roman"/>
        </w:rPr>
        <w:t>,</w:t>
      </w:r>
      <w:r w:rsidR="00264E16">
        <w:rPr>
          <w:rFonts w:ascii="Times New Roman" w:hAnsi="Times New Roman" w:cs="Times New Roman"/>
        </w:rPr>
        <w:t xml:space="preserve"> whereof data from day 1, 8 and 13</w:t>
      </w:r>
      <w:r w:rsidR="008D50F9">
        <w:rPr>
          <w:rFonts w:ascii="Times New Roman" w:hAnsi="Times New Roman" w:cs="Times New Roman"/>
        </w:rPr>
        <w:t xml:space="preserve"> </w:t>
      </w:r>
      <w:r w:rsidR="00264E16">
        <w:rPr>
          <w:rFonts w:ascii="Times New Roman" w:hAnsi="Times New Roman" w:cs="Times New Roman"/>
        </w:rPr>
        <w:t>are included in the current study. T</w:t>
      </w:r>
      <w:r w:rsidR="008D50F9">
        <w:rPr>
          <w:rFonts w:ascii="Times New Roman" w:hAnsi="Times New Roman" w:cs="Times New Roman"/>
        </w:rPr>
        <w:t xml:space="preserve">he </w:t>
      </w:r>
      <w:r w:rsidR="008D50F9" w:rsidRPr="00AE0186">
        <w:rPr>
          <w:rFonts w:ascii="Times New Roman" w:hAnsi="Times New Roman" w:cs="Times New Roman"/>
        </w:rPr>
        <w:t>T2 weighted images</w:t>
      </w:r>
      <w:r w:rsidR="008D50F9">
        <w:rPr>
          <w:rFonts w:ascii="Times New Roman" w:hAnsi="Times New Roman" w:cs="Times New Roman"/>
        </w:rPr>
        <w:t xml:space="preserve"> were used to verify partial </w:t>
      </w:r>
      <w:r w:rsidR="00AE0186" w:rsidRPr="00AE0186">
        <w:rPr>
          <w:rFonts w:ascii="Times New Roman" w:hAnsi="Times New Roman" w:cs="Times New Roman"/>
        </w:rPr>
        <w:t>tumour response</w:t>
      </w:r>
      <w:r w:rsidR="008D50F9" w:rsidRPr="008D50F9">
        <w:rPr>
          <w:rFonts w:ascii="Times New Roman" w:hAnsi="Times New Roman" w:cs="Times New Roman"/>
        </w:rPr>
        <w:t xml:space="preserve"> </w:t>
      </w:r>
      <w:r w:rsidR="008D50F9">
        <w:rPr>
          <w:rFonts w:ascii="Times New Roman" w:hAnsi="Times New Roman" w:cs="Times New Roman"/>
        </w:rPr>
        <w:t>(</w:t>
      </w:r>
      <w:r w:rsidR="008D50F9" w:rsidRPr="00AE0186">
        <w:rPr>
          <w:rFonts w:ascii="Times New Roman" w:hAnsi="Times New Roman" w:cs="Times New Roman"/>
        </w:rPr>
        <w:t>reduced tumour volume or reduced growth rate during the first week after treatment, followed by stable or increasing tumour volume during the second week</w:t>
      </w:r>
      <w:r w:rsidR="008D50F9">
        <w:rPr>
          <w:rFonts w:ascii="Times New Roman" w:hAnsi="Times New Roman" w:cs="Times New Roman"/>
        </w:rPr>
        <w:t>,</w:t>
      </w:r>
      <w:r w:rsidR="008D50F9" w:rsidRPr="00AE0186">
        <w:rPr>
          <w:rFonts w:ascii="Times New Roman" w:hAnsi="Times New Roman" w:cs="Times New Roman"/>
        </w:rPr>
        <w:t xml:space="preserve"> data not shown</w:t>
      </w:r>
      <w:r w:rsidR="008D50F9">
        <w:rPr>
          <w:rFonts w:ascii="Times New Roman" w:hAnsi="Times New Roman" w:cs="Times New Roman"/>
        </w:rPr>
        <w:t xml:space="preserve">) </w:t>
      </w:r>
      <w:r w:rsidR="008D50F9" w:rsidRPr="00AE0186">
        <w:rPr>
          <w:rFonts w:ascii="Times New Roman" w:hAnsi="Times New Roman" w:cs="Times New Roman"/>
        </w:rPr>
        <w:t xml:space="preserve">as previously described </w:t>
      </w:r>
      <w:r w:rsidR="008D50F9">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{"citationItems":[{"id":"ITEM-1","itemData":{"DOI":"10.1186/1471-2342-12-12","ISSN":"14712342","abstract":"Background: Animal models are frequently used to assess new treatment methods in cancer research. MRI offers a non-invasive in vivo monitoring of tumour tissue and thus allows longitudinal measurements of treatment effects, without the need for large cohorts of animals. Tumour size is an important biomarker of the disease development, but to our knowledge, MRI based size measurements have not yet been verified for small tumours (10  -2 -10  -1  g). The aim of this study was to assess the accuracy of MRI based tumour size measurements of small tumours on mice.Methods: 2D and 3D T2-weighted RARE images of tumour bearing mice were acquired in vivo using a 7 T dedicated animal MR system. For the 3D images the acquired image resolution was varied. The images were exported to a PC workstation where the tumour mass was determined assuming a density of 1 g/cm  3 , using an in-house developed tool for segmentation and delineation. The resulting data were compared to the weight of the resected tumours after sacrifice of the animal using regression analysis.Results: Strong correlations were demonstrated between MRI- and necropsy determined masses. In general, 3D acquisition was not a prerequisite for high accuracy. However, it was slightly more accurate than 2D when small ( &lt; 0.2 g) tumours were assessed for inter- and intraobserver variation. In 3D images, the voxel sizes could be increased from 160  3  μm  3  to 240  3  μm  3  without affecting the results significantly, thus reducing acquisition time substantially.Conclusions: 2D MRI was sufficient for accurate tumour size measurement, except for small tumours ( &lt; 0.2 g) where 3D acquisition was necessary to reduce interobserver variation. Acquisition times between 15 and 50 minutes, depending on tumour size, were sufficient for accurate tumour volume measurement. Hence, it is possible to include further MR investigations of the tumour, such as tissue perfusion, diffusion or metabolic composition in the same MR session. © 2012 Montelius et al. licensee BioMed Central Ltd.","author":[{"dropping-particle":"","family":"Montelius","given":"M.","non-dropping-particle":"","parse-names":false,"suffix":""},{"dropping-particle":"","family":"Ljungberg","given":"M.","non-dropping-particle":"","parse-names":false,"suffix":""},{"dropping-particle":"","family":"Horn","given":"M.","non-dropping-particle":"","parse-names":false,"suffix":""},{"dropping-particle":"","family":"Forssell-Aronsson","given":"E.","non-dropping-particle":"","parse-names":false,"suffix":""}],"container-title":"BMC Medical Imaging","id":"ITEM-1","issued":{"date-parts":[["2012"]]},"title":"Tumour size measurement in a mouse model using high resolution MRI","type":"article-journal","volume":"12"},"uris":["http://www.mendeley.com/documents/?uuid=70b83d68-1642-3eda-bd2e-b3abfc7614c4"]}],"mendeley":{"formattedCitation":"&lt;sup&gt;18&lt;/sup&gt;","plainTextFormattedCitation":"18","previouslyFormattedCitation":"&lt;sup&gt;18&lt;/sup&gt;"},"properties":{"noteIndex":0},"schema":"https://github.com/citation-style-language/schema/raw/master/csl-citation.json"}</w:instrText>
      </w:r>
      <w:r w:rsidR="008D50F9">
        <w:rPr>
          <w:rFonts w:ascii="Times New Roman" w:hAnsi="Times New Roman" w:cs="Times New Roman"/>
        </w:rPr>
        <w:fldChar w:fldCharType="separate"/>
      </w:r>
      <w:r w:rsidR="00A17C25" w:rsidRPr="00A17C25">
        <w:rPr>
          <w:rFonts w:ascii="Times New Roman" w:hAnsi="Times New Roman" w:cs="Times New Roman"/>
          <w:noProof/>
          <w:vertAlign w:val="superscript"/>
        </w:rPr>
        <w:t>18</w:t>
      </w:r>
      <w:r w:rsidR="008D50F9">
        <w:rPr>
          <w:rFonts w:ascii="Times New Roman" w:hAnsi="Times New Roman" w:cs="Times New Roman"/>
        </w:rPr>
        <w:fldChar w:fldCharType="end"/>
      </w:r>
      <w:r w:rsidR="008D50F9">
        <w:rPr>
          <w:rFonts w:ascii="Times New Roman" w:hAnsi="Times New Roman" w:cs="Times New Roman"/>
        </w:rPr>
        <w:t>.</w:t>
      </w:r>
    </w:p>
    <w:p w14:paraId="4413D16F" w14:textId="160EF1AD" w:rsidR="00AE0186" w:rsidRPr="00AE0186" w:rsidRDefault="00B83061" w:rsidP="00AE0186">
      <w:pPr>
        <w:spacing w:line="240" w:lineRule="auto"/>
        <w:jc w:val="both"/>
        <w:rPr>
          <w:rFonts w:ascii="Times New Roman" w:hAnsi="Times New Roman" w:cs="Times New Roman"/>
        </w:rPr>
      </w:pPr>
      <w:r>
        <w:rPr>
          <w:rFonts w:ascii="Times New Roman" w:hAnsi="Times New Roman" w:cs="Times New Roman"/>
        </w:rPr>
        <w:t xml:space="preserve">The </w:t>
      </w:r>
      <w:r w:rsidR="00264E16">
        <w:rPr>
          <w:rFonts w:ascii="Times New Roman" w:hAnsi="Times New Roman" w:cs="Times New Roman"/>
        </w:rPr>
        <w:t xml:space="preserve">5/21 tumours </w:t>
      </w:r>
      <w:r w:rsidR="00AF05B3">
        <w:rPr>
          <w:rFonts w:ascii="Times New Roman" w:hAnsi="Times New Roman" w:cs="Times New Roman"/>
        </w:rPr>
        <w:t xml:space="preserve">included </w:t>
      </w:r>
      <w:r w:rsidR="00264E16">
        <w:rPr>
          <w:rFonts w:ascii="Times New Roman" w:hAnsi="Times New Roman" w:cs="Times New Roman"/>
        </w:rPr>
        <w:t xml:space="preserve">in this study fulfilled the </w:t>
      </w:r>
      <w:r w:rsidR="004D7153">
        <w:rPr>
          <w:rFonts w:ascii="Times New Roman" w:hAnsi="Times New Roman" w:cs="Times New Roman"/>
        </w:rPr>
        <w:t xml:space="preserve">following </w:t>
      </w:r>
      <w:r w:rsidR="00264E16">
        <w:rPr>
          <w:rFonts w:ascii="Times New Roman" w:hAnsi="Times New Roman" w:cs="Times New Roman"/>
        </w:rPr>
        <w:t>requirements</w:t>
      </w:r>
      <w:r w:rsidR="00AF05B3">
        <w:rPr>
          <w:rFonts w:ascii="Times New Roman" w:hAnsi="Times New Roman" w:cs="Times New Roman"/>
        </w:rPr>
        <w:t>:</w:t>
      </w:r>
      <w:r>
        <w:rPr>
          <w:rFonts w:ascii="Times New Roman" w:hAnsi="Times New Roman" w:cs="Times New Roman"/>
        </w:rPr>
        <w:t xml:space="preserve"> </w:t>
      </w:r>
      <w:r w:rsidR="00EC6B90">
        <w:rPr>
          <w:rFonts w:ascii="Times New Roman" w:hAnsi="Times New Roman" w:cs="Times New Roman"/>
        </w:rPr>
        <w:t>1)</w:t>
      </w:r>
      <w:r w:rsidR="004D7153">
        <w:rPr>
          <w:rFonts w:ascii="Times New Roman" w:hAnsi="Times New Roman" w:cs="Times New Roman"/>
        </w:rPr>
        <w:t xml:space="preserve"> They were</w:t>
      </w:r>
      <w:r w:rsidR="00EC6B90">
        <w:rPr>
          <w:rFonts w:ascii="Times New Roman" w:hAnsi="Times New Roman" w:cs="Times New Roman"/>
        </w:rPr>
        <w:t xml:space="preserve"> successfully imaged in the MR experiment preceding tumour extraction, 2) </w:t>
      </w:r>
      <w:r w:rsidR="004D7153">
        <w:rPr>
          <w:rFonts w:ascii="Times New Roman" w:hAnsi="Times New Roman" w:cs="Times New Roman"/>
        </w:rPr>
        <w:t xml:space="preserve">they were </w:t>
      </w:r>
      <w:r>
        <w:rPr>
          <w:rFonts w:ascii="Times New Roman" w:hAnsi="Times New Roman" w:cs="Times New Roman"/>
        </w:rPr>
        <w:t>adequately located</w:t>
      </w:r>
      <w:r w:rsidR="008D50F9">
        <w:rPr>
          <w:rFonts w:ascii="Times New Roman" w:hAnsi="Times New Roman" w:cs="Times New Roman"/>
        </w:rPr>
        <w:t xml:space="preserve">, </w:t>
      </w:r>
      <w:r>
        <w:rPr>
          <w:rFonts w:ascii="Times New Roman" w:hAnsi="Times New Roman" w:cs="Times New Roman"/>
        </w:rPr>
        <w:t xml:space="preserve">shaped </w:t>
      </w:r>
      <w:r w:rsidR="008D50F9">
        <w:rPr>
          <w:rFonts w:ascii="Times New Roman" w:hAnsi="Times New Roman" w:cs="Times New Roman"/>
        </w:rPr>
        <w:t xml:space="preserve">and sized </w:t>
      </w:r>
      <w:r>
        <w:rPr>
          <w:rFonts w:ascii="Times New Roman" w:hAnsi="Times New Roman" w:cs="Times New Roman"/>
        </w:rPr>
        <w:t xml:space="preserve">for the resection method </w:t>
      </w:r>
      <w:r w:rsidR="00264E16">
        <w:rPr>
          <w:rFonts w:ascii="Times New Roman" w:hAnsi="Times New Roman" w:cs="Times New Roman"/>
        </w:rPr>
        <w:t>used</w:t>
      </w:r>
      <w:r>
        <w:rPr>
          <w:rFonts w:ascii="Times New Roman" w:hAnsi="Times New Roman" w:cs="Times New Roman"/>
        </w:rPr>
        <w:t xml:space="preserve">, </w:t>
      </w:r>
      <w:r w:rsidR="00EC6B90">
        <w:rPr>
          <w:rFonts w:ascii="Times New Roman" w:hAnsi="Times New Roman" w:cs="Times New Roman"/>
        </w:rPr>
        <w:t xml:space="preserve">3) </w:t>
      </w:r>
      <w:r w:rsidR="004D7153">
        <w:rPr>
          <w:rFonts w:ascii="Times New Roman" w:hAnsi="Times New Roman" w:cs="Times New Roman"/>
        </w:rPr>
        <w:t xml:space="preserve">they were </w:t>
      </w:r>
      <w:r w:rsidR="008D50F9">
        <w:rPr>
          <w:rFonts w:ascii="Times New Roman" w:hAnsi="Times New Roman" w:cs="Times New Roman"/>
        </w:rPr>
        <w:t xml:space="preserve">successfully stained </w:t>
      </w:r>
      <w:r w:rsidR="008B2EDE">
        <w:rPr>
          <w:rFonts w:ascii="Times New Roman" w:hAnsi="Times New Roman" w:cs="Times New Roman"/>
        </w:rPr>
        <w:t xml:space="preserve">at histology, </w:t>
      </w:r>
      <w:r w:rsidR="008D50F9">
        <w:rPr>
          <w:rFonts w:ascii="Times New Roman" w:hAnsi="Times New Roman" w:cs="Times New Roman"/>
        </w:rPr>
        <w:t xml:space="preserve">and 4) </w:t>
      </w:r>
      <w:r w:rsidR="008B2EDE">
        <w:rPr>
          <w:rFonts w:ascii="Times New Roman" w:hAnsi="Times New Roman" w:cs="Times New Roman"/>
        </w:rPr>
        <w:t>anatomical landmarks were recognizable on both histological sections and MR images</w:t>
      </w:r>
      <w:r w:rsidR="00264E16">
        <w:rPr>
          <w:rFonts w:ascii="Times New Roman" w:hAnsi="Times New Roman" w:cs="Times New Roman"/>
        </w:rPr>
        <w:t>.</w:t>
      </w:r>
      <w:r w:rsidR="008B2EDE">
        <w:rPr>
          <w:rFonts w:ascii="Times New Roman" w:hAnsi="Times New Roman" w:cs="Times New Roman"/>
        </w:rPr>
        <w:t xml:space="preserve"> </w:t>
      </w:r>
      <w:r w:rsidR="00433FDC">
        <w:rPr>
          <w:rFonts w:ascii="Times New Roman" w:hAnsi="Times New Roman" w:cs="Times New Roman"/>
        </w:rPr>
        <w:t>These inclusion criteria resulted in that 4/5</w:t>
      </w:r>
      <w:r w:rsidR="002A2C35">
        <w:rPr>
          <w:rFonts w:ascii="Times New Roman" w:hAnsi="Times New Roman" w:cs="Times New Roman"/>
        </w:rPr>
        <w:t xml:space="preserve"> included</w:t>
      </w:r>
      <w:r w:rsidR="00433FDC">
        <w:rPr>
          <w:rFonts w:ascii="Times New Roman" w:hAnsi="Times New Roman" w:cs="Times New Roman"/>
        </w:rPr>
        <w:t xml:space="preserve"> t</w:t>
      </w:r>
      <w:r w:rsidR="00235085">
        <w:rPr>
          <w:rFonts w:ascii="Times New Roman" w:hAnsi="Times New Roman" w:cs="Times New Roman"/>
        </w:rPr>
        <w:t xml:space="preserve">umours </w:t>
      </w:r>
      <w:r w:rsidR="00433FDC">
        <w:rPr>
          <w:rFonts w:ascii="Times New Roman" w:hAnsi="Times New Roman" w:cs="Times New Roman"/>
        </w:rPr>
        <w:t>(no. 1</w:t>
      </w:r>
      <w:r w:rsidR="00264E16">
        <w:rPr>
          <w:rFonts w:ascii="Times New Roman" w:hAnsi="Times New Roman" w:cs="Times New Roman"/>
        </w:rPr>
        <w:t xml:space="preserve">, 3, 4 and </w:t>
      </w:r>
      <w:r w:rsidR="00235085">
        <w:rPr>
          <w:rFonts w:ascii="Times New Roman" w:hAnsi="Times New Roman" w:cs="Times New Roman"/>
        </w:rPr>
        <w:t>5</w:t>
      </w:r>
      <w:r w:rsidR="00433FDC">
        <w:rPr>
          <w:rFonts w:ascii="Times New Roman" w:hAnsi="Times New Roman" w:cs="Times New Roman"/>
        </w:rPr>
        <w:t>)</w:t>
      </w:r>
      <w:r w:rsidR="00235085">
        <w:rPr>
          <w:rFonts w:ascii="Times New Roman" w:hAnsi="Times New Roman" w:cs="Times New Roman"/>
        </w:rPr>
        <w:t xml:space="preserve"> </w:t>
      </w:r>
      <w:r w:rsidR="00264E16">
        <w:rPr>
          <w:rFonts w:ascii="Times New Roman" w:hAnsi="Times New Roman" w:cs="Times New Roman"/>
        </w:rPr>
        <w:t xml:space="preserve">were </w:t>
      </w:r>
      <w:r w:rsidR="00235085">
        <w:rPr>
          <w:rFonts w:ascii="Times New Roman" w:hAnsi="Times New Roman" w:cs="Times New Roman"/>
        </w:rPr>
        <w:t>harvested on day 13</w:t>
      </w:r>
      <w:r w:rsidR="007B3B41">
        <w:rPr>
          <w:rFonts w:ascii="Times New Roman" w:hAnsi="Times New Roman" w:cs="Times New Roman"/>
        </w:rPr>
        <w:t xml:space="preserve"> and </w:t>
      </w:r>
      <w:r w:rsidR="00433FDC">
        <w:rPr>
          <w:rFonts w:ascii="Times New Roman" w:hAnsi="Times New Roman" w:cs="Times New Roman"/>
        </w:rPr>
        <w:t xml:space="preserve">1/5 </w:t>
      </w:r>
      <w:r w:rsidR="002A2C35">
        <w:rPr>
          <w:rFonts w:ascii="Times New Roman" w:hAnsi="Times New Roman" w:cs="Times New Roman"/>
        </w:rPr>
        <w:t xml:space="preserve">included </w:t>
      </w:r>
      <w:r w:rsidR="00433FDC">
        <w:rPr>
          <w:rFonts w:ascii="Times New Roman" w:hAnsi="Times New Roman" w:cs="Times New Roman"/>
        </w:rPr>
        <w:t>tumours</w:t>
      </w:r>
      <w:r w:rsidR="00235085">
        <w:rPr>
          <w:rFonts w:ascii="Times New Roman" w:hAnsi="Times New Roman" w:cs="Times New Roman"/>
        </w:rPr>
        <w:t xml:space="preserve"> </w:t>
      </w:r>
      <w:r w:rsidR="00433FDC">
        <w:rPr>
          <w:rFonts w:ascii="Times New Roman" w:hAnsi="Times New Roman" w:cs="Times New Roman"/>
        </w:rPr>
        <w:t xml:space="preserve">(no. </w:t>
      </w:r>
      <w:r w:rsidR="00235085">
        <w:rPr>
          <w:rFonts w:ascii="Times New Roman" w:hAnsi="Times New Roman" w:cs="Times New Roman"/>
        </w:rPr>
        <w:t>2</w:t>
      </w:r>
      <w:r w:rsidR="00433FDC">
        <w:rPr>
          <w:rFonts w:ascii="Times New Roman" w:hAnsi="Times New Roman" w:cs="Times New Roman"/>
        </w:rPr>
        <w:t xml:space="preserve">) </w:t>
      </w:r>
      <w:r w:rsidR="00264E16">
        <w:rPr>
          <w:rFonts w:ascii="Times New Roman" w:hAnsi="Times New Roman" w:cs="Times New Roman"/>
        </w:rPr>
        <w:t xml:space="preserve">was </w:t>
      </w:r>
      <w:r w:rsidR="008B2EDE">
        <w:rPr>
          <w:rFonts w:ascii="Times New Roman" w:hAnsi="Times New Roman" w:cs="Times New Roman"/>
        </w:rPr>
        <w:t xml:space="preserve">harvested </w:t>
      </w:r>
      <w:r w:rsidR="00235085">
        <w:rPr>
          <w:rFonts w:ascii="Times New Roman" w:hAnsi="Times New Roman" w:cs="Times New Roman"/>
        </w:rPr>
        <w:t>on day 1</w:t>
      </w:r>
      <w:r w:rsidR="00EC6B90">
        <w:rPr>
          <w:rFonts w:ascii="Times New Roman" w:hAnsi="Times New Roman" w:cs="Times New Roman"/>
        </w:rPr>
        <w:t>.</w:t>
      </w:r>
    </w:p>
    <w:p w14:paraId="47566411"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During imaging, animals were anaesthetized using air and isoflurane (2-3 %, Isoba vet., Schering-Plough Animal-health, Denmark), body temperature was maintained using a circulating warm water system and a heating pad, and a pressure sensitive pad was used to monitor respiration (SA Instruments, Inc., NY, USA). For contrast administration during image acquisition, a peripheral venous catheter was fixed to the tail vein and connected to a 1 ml syringe outside the magnet bore, via a 70 cm infusion line.</w:t>
      </w:r>
    </w:p>
    <w:p w14:paraId="5849CAB9" w14:textId="565A2741"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Immediately after the MRI experiment </w:t>
      </w:r>
      <w:r w:rsidR="00462B98">
        <w:rPr>
          <w:rFonts w:ascii="Times New Roman" w:hAnsi="Times New Roman" w:cs="Times New Roman"/>
        </w:rPr>
        <w:t>preceding</w:t>
      </w:r>
      <w:r w:rsidR="00E37661">
        <w:rPr>
          <w:rFonts w:ascii="Times New Roman" w:hAnsi="Times New Roman" w:cs="Times New Roman"/>
        </w:rPr>
        <w:t xml:space="preserve"> the</w:t>
      </w:r>
      <w:r w:rsidR="00462B98">
        <w:rPr>
          <w:rFonts w:ascii="Times New Roman" w:hAnsi="Times New Roman" w:cs="Times New Roman"/>
        </w:rPr>
        <w:t xml:space="preserve"> tumour extraction, </w:t>
      </w:r>
      <w:r w:rsidRPr="00AE0186">
        <w:rPr>
          <w:rFonts w:ascii="Times New Roman" w:hAnsi="Times New Roman" w:cs="Times New Roman"/>
        </w:rPr>
        <w:t>animals received a lethal intraperitoneal injection of sodium pentobarbitone (Pentobarbitalnatrium vet, Apotek Produktion &amp; Laboratorier AB, Sweden, 60 mg/ml) followed by heart incision, tumour extraction and histological preparation.</w:t>
      </w:r>
    </w:p>
    <w:p w14:paraId="21F3004A"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MRI experiments</w:t>
      </w:r>
    </w:p>
    <w:p w14:paraId="025ECBA3"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MRI examinations were performed using a 20-cm inner-diameter horizontal bore 7T MR system with 400 mT/m gradients (Bruker BioSpin MRI GmbH, Germany; software: ParaVision 5.1). </w:t>
      </w:r>
    </w:p>
    <w:p w14:paraId="09B6DAE6" w14:textId="6B2B8F92"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A 4-channel array rat brain receiver coil (RAPID Biomedical GmbH, Germany) </w:t>
      </w:r>
      <w:r w:rsidR="002B3D63">
        <w:rPr>
          <w:rFonts w:ascii="Times New Roman" w:hAnsi="Times New Roman" w:cs="Times New Roman"/>
        </w:rPr>
        <w:t xml:space="preserve">and </w:t>
      </w:r>
      <w:r w:rsidRPr="00AE0186">
        <w:rPr>
          <w:rFonts w:ascii="Times New Roman" w:hAnsi="Times New Roman" w:cs="Times New Roman"/>
        </w:rPr>
        <w:t>a 72-mm volume coil</w:t>
      </w:r>
      <w:r w:rsidR="002B3D63">
        <w:rPr>
          <w:rFonts w:ascii="Times New Roman" w:hAnsi="Times New Roman" w:cs="Times New Roman"/>
        </w:rPr>
        <w:t xml:space="preserve"> was used to image tumours </w:t>
      </w:r>
      <w:r w:rsidR="00235085">
        <w:rPr>
          <w:rFonts w:ascii="Times New Roman" w:hAnsi="Times New Roman" w:cs="Times New Roman"/>
        </w:rPr>
        <w:t>1 and 3</w:t>
      </w:r>
      <w:r w:rsidR="002B3D63">
        <w:rPr>
          <w:rFonts w:ascii="Times New Roman" w:hAnsi="Times New Roman" w:cs="Times New Roman"/>
        </w:rPr>
        <w:t>-5</w:t>
      </w:r>
      <w:r w:rsidRPr="00AE0186">
        <w:rPr>
          <w:rFonts w:ascii="Times New Roman" w:hAnsi="Times New Roman" w:cs="Times New Roman"/>
        </w:rPr>
        <w:t xml:space="preserve">, </w:t>
      </w:r>
      <w:r w:rsidR="002B3D63">
        <w:rPr>
          <w:rFonts w:ascii="Times New Roman" w:hAnsi="Times New Roman" w:cs="Times New Roman"/>
        </w:rPr>
        <w:t>and a</w:t>
      </w:r>
      <w:r w:rsidRPr="00AE0186">
        <w:rPr>
          <w:rFonts w:ascii="Times New Roman" w:hAnsi="Times New Roman" w:cs="Times New Roman"/>
        </w:rPr>
        <w:t xml:space="preserve"> 50-mm quadrature transmit/receive volume coil was used</w:t>
      </w:r>
      <w:r w:rsidR="002B3D63">
        <w:rPr>
          <w:rFonts w:ascii="Times New Roman" w:hAnsi="Times New Roman" w:cs="Times New Roman"/>
        </w:rPr>
        <w:t xml:space="preserve"> to image tumour </w:t>
      </w:r>
      <w:r w:rsidR="00235085">
        <w:rPr>
          <w:rFonts w:ascii="Times New Roman" w:hAnsi="Times New Roman" w:cs="Times New Roman"/>
        </w:rPr>
        <w:t>2</w:t>
      </w:r>
      <w:r w:rsidRPr="00AE0186">
        <w:rPr>
          <w:rFonts w:ascii="Times New Roman" w:hAnsi="Times New Roman" w:cs="Times New Roman"/>
        </w:rPr>
        <w:t xml:space="preserve"> (RAPID Biomedical GmbH, Germany). </w:t>
      </w:r>
    </w:p>
    <w:p w14:paraId="38AEC8AC" w14:textId="77777777" w:rsidR="008D50F9"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Field map based shimming (MAPSHIM) was used to improve the field homogeneity within the tumour. Transversal images of the longitudinal position of the animal with greatest tumour area were acquired using a field-of-view (FOV) that covered the tumour extent, including the following methods: Multi b-value diffusion weighted imaging for intravoxel incoherent motion modelling (IVIM-DWI), </w:t>
      </w:r>
      <w:r w:rsidRPr="00AE0186">
        <w:rPr>
          <w:rFonts w:ascii="Times New Roman" w:hAnsi="Times New Roman" w:cs="Times New Roman"/>
          <w:i/>
        </w:rPr>
        <w:t>T2*</w:t>
      </w:r>
      <w:r w:rsidRPr="00AE0186">
        <w:rPr>
          <w:rFonts w:ascii="Times New Roman" w:hAnsi="Times New Roman" w:cs="Times New Roman"/>
        </w:rPr>
        <w:t xml:space="preserve"> and </w:t>
      </w:r>
      <w:r w:rsidRPr="00AE0186">
        <w:rPr>
          <w:rFonts w:ascii="Times New Roman" w:hAnsi="Times New Roman" w:cs="Times New Roman"/>
          <w:i/>
        </w:rPr>
        <w:t>T1</w:t>
      </w:r>
      <w:r w:rsidRPr="00AE0186">
        <w:rPr>
          <w:rFonts w:ascii="Times New Roman" w:hAnsi="Times New Roman" w:cs="Times New Roman"/>
        </w:rPr>
        <w:t xml:space="preserve"> quantification, dynamic contrast-enhanced MRI (DCE-MRI: 0.1 M Gd-DTPA, DOTAREM, Gothia Medical, Sweden, 0.3 mmol/kg bodyweight, tail </w:t>
      </w:r>
      <w:r w:rsidRPr="00AE0186">
        <w:rPr>
          <w:rFonts w:ascii="Times New Roman" w:hAnsi="Times New Roman" w:cs="Times New Roman"/>
          <w:i/>
        </w:rPr>
        <w:t>i.v.</w:t>
      </w:r>
      <w:r w:rsidRPr="00AE0186">
        <w:rPr>
          <w:rFonts w:ascii="Times New Roman" w:hAnsi="Times New Roman" w:cs="Times New Roman"/>
        </w:rPr>
        <w:t xml:space="preserve"> injection during the 6</w:t>
      </w:r>
      <w:r w:rsidRPr="00AE0186">
        <w:rPr>
          <w:rFonts w:ascii="Times New Roman" w:hAnsi="Times New Roman" w:cs="Times New Roman"/>
          <w:vertAlign w:val="superscript"/>
        </w:rPr>
        <w:t>th</w:t>
      </w:r>
      <w:r w:rsidRPr="00AE0186">
        <w:rPr>
          <w:rFonts w:ascii="Times New Roman" w:hAnsi="Times New Roman" w:cs="Times New Roman"/>
        </w:rPr>
        <w:t xml:space="preserve"> dynamic) and T2 weighted MRI. </w:t>
      </w:r>
    </w:p>
    <w:p w14:paraId="46F86340" w14:textId="5ABC0D64" w:rsidR="00AE0186" w:rsidRPr="00AE0186" w:rsidRDefault="002B33F4" w:rsidP="00AE0186">
      <w:pPr>
        <w:spacing w:line="240" w:lineRule="auto"/>
        <w:jc w:val="both"/>
        <w:rPr>
          <w:rFonts w:ascii="Times New Roman" w:hAnsi="Times New Roman" w:cs="Times New Roman"/>
        </w:rPr>
      </w:pPr>
      <w:r>
        <w:rPr>
          <w:rFonts w:ascii="Times New Roman" w:hAnsi="Times New Roman" w:cs="Times New Roman"/>
        </w:rPr>
        <w:t>I</w:t>
      </w:r>
      <w:r w:rsidR="00AE0186" w:rsidRPr="00AE0186">
        <w:rPr>
          <w:rFonts w:ascii="Times New Roman" w:hAnsi="Times New Roman" w:cs="Times New Roman"/>
        </w:rPr>
        <w:t>maging experiments were performed on the same day the animal was killed and tumour tissue harvested, except for the DCE-MRI experiment</w:t>
      </w:r>
      <w:r>
        <w:rPr>
          <w:rFonts w:ascii="Times New Roman" w:hAnsi="Times New Roman" w:cs="Times New Roman"/>
        </w:rPr>
        <w:t xml:space="preserve"> of animals </w:t>
      </w:r>
      <w:r w:rsidR="007B3B41">
        <w:rPr>
          <w:rFonts w:ascii="Times New Roman" w:hAnsi="Times New Roman" w:cs="Times New Roman"/>
        </w:rPr>
        <w:t>1 and 3</w:t>
      </w:r>
      <w:r>
        <w:rPr>
          <w:rFonts w:ascii="Times New Roman" w:hAnsi="Times New Roman" w:cs="Times New Roman"/>
        </w:rPr>
        <w:t xml:space="preserve">-5, </w:t>
      </w:r>
      <w:r w:rsidR="00AE0186" w:rsidRPr="00AE0186">
        <w:rPr>
          <w:rFonts w:ascii="Times New Roman" w:hAnsi="Times New Roman" w:cs="Times New Roman"/>
        </w:rPr>
        <w:t>which was conducted on day 8</w:t>
      </w:r>
      <w:r>
        <w:rPr>
          <w:rFonts w:ascii="Times New Roman" w:hAnsi="Times New Roman" w:cs="Times New Roman"/>
        </w:rPr>
        <w:t xml:space="preserve"> instead of day 13 due to </w:t>
      </w:r>
      <w:r w:rsidR="005F09C1">
        <w:rPr>
          <w:rFonts w:ascii="Times New Roman" w:hAnsi="Times New Roman" w:cs="Times New Roman"/>
        </w:rPr>
        <w:t>logistical</w:t>
      </w:r>
      <w:r>
        <w:rPr>
          <w:rFonts w:ascii="Times New Roman" w:hAnsi="Times New Roman" w:cs="Times New Roman"/>
        </w:rPr>
        <w:t xml:space="preserve"> reasons</w:t>
      </w:r>
      <w:r w:rsidR="00A60078">
        <w:rPr>
          <w:rFonts w:ascii="Times New Roman" w:hAnsi="Times New Roman" w:cs="Times New Roman"/>
        </w:rPr>
        <w:t xml:space="preserve"> involving the other studies</w:t>
      </w:r>
      <w:r w:rsidR="00AE0186" w:rsidRPr="00AE0186">
        <w:rPr>
          <w:rFonts w:ascii="Times New Roman" w:hAnsi="Times New Roman" w:cs="Times New Roman"/>
        </w:rPr>
        <w:t xml:space="preserve">. Total scan time: ~ 90 min. Detailed acquisition parameters are given in Table 1. </w:t>
      </w:r>
    </w:p>
    <w:p w14:paraId="420479D6"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MR image post processing</w:t>
      </w:r>
    </w:p>
    <w:p w14:paraId="40C2F15E" w14:textId="35A7863D"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Post processing was performed on a voxel-by-voxel basis using MATLAB (R2015b, The MathWorks, Inc., MA, USA) with standard and in-house developed functions, scripts and graphical user interfaces. A 2</w:t>
      </w:r>
      <w:r w:rsidRPr="00AE0186">
        <w:rPr>
          <w:rFonts w:ascii="Times New Roman" w:eastAsia="MS Gothic" w:hAnsi="Times New Roman" w:cs="Times New Roman"/>
          <w:color w:val="000000"/>
        </w:rPr>
        <w:t>×</w:t>
      </w:r>
      <w:r w:rsidRPr="00AE0186">
        <w:rPr>
          <w:rFonts w:ascii="Times New Roman" w:hAnsi="Times New Roman" w:cs="Times New Roman"/>
        </w:rPr>
        <w:t xml:space="preserve">2 median filter was applied to all images </w:t>
      </w:r>
      <w:r w:rsidR="007D2559">
        <w:rPr>
          <w:rFonts w:ascii="Times New Roman" w:hAnsi="Times New Roman" w:cs="Times New Roman"/>
        </w:rPr>
        <w:t xml:space="preserve">for noise reduction </w:t>
      </w:r>
      <w:r w:rsidRPr="00AE0186">
        <w:rPr>
          <w:rFonts w:ascii="Times New Roman" w:hAnsi="Times New Roman" w:cs="Times New Roman"/>
        </w:rPr>
        <w:t xml:space="preserve">before further post-processing. The 19 parameters derived from MRI examinations are defined in Table 2. </w:t>
      </w:r>
    </w:p>
    <w:p w14:paraId="11B268D6"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Tissue sampling, histological processing and digitalisation</w:t>
      </w:r>
    </w:p>
    <w:p w14:paraId="046C8A60" w14:textId="5D8C26C6" w:rsid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lastRenderedPageBreak/>
        <w:t xml:space="preserve">Just after the animal had been killed, a scalpel was used to divide the tumour </w:t>
      </w:r>
      <w:r w:rsidRPr="00AE0186">
        <w:rPr>
          <w:rFonts w:ascii="Times New Roman" w:hAnsi="Times New Roman" w:cs="Times New Roman"/>
          <w:i/>
        </w:rPr>
        <w:t>in situ</w:t>
      </w:r>
      <w:r w:rsidRPr="00AE0186">
        <w:rPr>
          <w:rFonts w:ascii="Times New Roman" w:hAnsi="Times New Roman" w:cs="Times New Roman"/>
        </w:rPr>
        <w:t xml:space="preserve"> by placing a section adjacent and parallel to the imaged tumour plane. The same plane was colour coded by tissue ink on the left, right and dorsal tumour borders to keep track of anatomical orientation during histological processing.</w:t>
      </w:r>
      <w:r w:rsidRPr="00AE0186" w:rsidDel="005F17C4">
        <w:rPr>
          <w:rFonts w:ascii="Times New Roman" w:hAnsi="Times New Roman" w:cs="Times New Roman"/>
        </w:rPr>
        <w:t xml:space="preserve"> </w:t>
      </w:r>
      <w:r w:rsidRPr="00AE0186">
        <w:rPr>
          <w:rFonts w:ascii="Times New Roman" w:hAnsi="Times New Roman" w:cs="Times New Roman"/>
        </w:rPr>
        <w:t xml:space="preserve">At paraffin embedding </w:t>
      </w:r>
      <w:r w:rsidRPr="00AE0186" w:rsidDel="005F17C4">
        <w:rPr>
          <w:rFonts w:ascii="Times New Roman" w:hAnsi="Times New Roman" w:cs="Times New Roman"/>
        </w:rPr>
        <w:t>(Thermo Scientific™ HM 355S Automatic</w:t>
      </w:r>
      <w:r w:rsidRPr="00AE0186">
        <w:rPr>
          <w:rFonts w:ascii="Times New Roman" w:hAnsi="Times New Roman" w:cs="Times New Roman"/>
        </w:rPr>
        <w:t>, Fisher Scientific, Sweden</w:t>
      </w:r>
      <w:r w:rsidRPr="00AE0186" w:rsidDel="005F17C4">
        <w:rPr>
          <w:rFonts w:ascii="Times New Roman" w:hAnsi="Times New Roman" w:cs="Times New Roman"/>
        </w:rPr>
        <w:t>)</w:t>
      </w:r>
      <w:r w:rsidRPr="00AE0186">
        <w:rPr>
          <w:rFonts w:ascii="Times New Roman" w:hAnsi="Times New Roman" w:cs="Times New Roman"/>
        </w:rPr>
        <w:t xml:space="preserve">, the flat tumour surface made by the scalpel was positioned to meet </w:t>
      </w:r>
      <w:r w:rsidRPr="00AE0186" w:rsidDel="005F17C4">
        <w:rPr>
          <w:rFonts w:ascii="Times New Roman" w:hAnsi="Times New Roman" w:cs="Times New Roman"/>
        </w:rPr>
        <w:t>the sweep plane of the microtome knife.</w:t>
      </w:r>
      <w:r w:rsidRPr="00AE0186">
        <w:rPr>
          <w:rFonts w:ascii="Times New Roman" w:hAnsi="Times New Roman" w:cs="Times New Roman"/>
        </w:rPr>
        <w:t xml:space="preserve"> When the </w:t>
      </w:r>
      <w:r w:rsidRPr="00AE0186" w:rsidDel="005F17C4">
        <w:rPr>
          <w:rFonts w:ascii="Times New Roman" w:hAnsi="Times New Roman" w:cs="Times New Roman"/>
        </w:rPr>
        <w:t>tissue ink was reached</w:t>
      </w:r>
      <w:r w:rsidRPr="00AE0186">
        <w:rPr>
          <w:rFonts w:ascii="Times New Roman" w:hAnsi="Times New Roman" w:cs="Times New Roman"/>
        </w:rPr>
        <w:t xml:space="preserve"> by the microtome, </w:t>
      </w:r>
      <w:r w:rsidRPr="00AE0186">
        <w:rPr>
          <w:rFonts w:ascii="Times New Roman" w:hAnsi="Times New Roman" w:cs="Times New Roman"/>
          <w:i/>
        </w:rPr>
        <w:t>i.e.</w:t>
      </w:r>
      <w:r w:rsidRPr="00AE0186">
        <w:rPr>
          <w:rFonts w:ascii="Times New Roman" w:hAnsi="Times New Roman" w:cs="Times New Roman"/>
        </w:rPr>
        <w:t xml:space="preserve"> when the imaged tumour plane was reached, serially produced </w:t>
      </w:r>
      <w:r w:rsidRPr="00AE0186" w:rsidDel="005F17C4">
        <w:rPr>
          <w:rFonts w:ascii="Times New Roman" w:hAnsi="Times New Roman" w:cs="Times New Roman"/>
        </w:rPr>
        <w:t>3</w:t>
      </w:r>
      <w:r w:rsidRPr="00AE0186">
        <w:rPr>
          <w:rFonts w:ascii="Times New Roman" w:hAnsi="Times New Roman" w:cs="Times New Roman"/>
        </w:rPr>
        <w:t>-</w:t>
      </w:r>
      <w:r w:rsidRPr="00AE0186" w:rsidDel="005F17C4">
        <w:rPr>
          <w:rFonts w:ascii="Times New Roman" w:hAnsi="Times New Roman" w:cs="Times New Roman"/>
        </w:rPr>
        <w:t xml:space="preserve">µm </w:t>
      </w:r>
      <w:r w:rsidRPr="00AE0186">
        <w:rPr>
          <w:rFonts w:ascii="Times New Roman" w:hAnsi="Times New Roman" w:cs="Times New Roman"/>
        </w:rPr>
        <w:t xml:space="preserve">sections were </w:t>
      </w:r>
      <w:r w:rsidRPr="00AE0186" w:rsidDel="005F17C4">
        <w:rPr>
          <w:rFonts w:ascii="Times New Roman" w:hAnsi="Times New Roman" w:cs="Times New Roman"/>
        </w:rPr>
        <w:t>collected for histological and immunohistochemical staining.</w:t>
      </w:r>
      <w:r w:rsidRPr="00AE0186">
        <w:rPr>
          <w:rFonts w:ascii="Times New Roman" w:hAnsi="Times New Roman" w:cs="Times New Roman"/>
        </w:rPr>
        <w:t xml:space="preserve"> Digital images of the stained sections were produced using a Leica SCN400 Slide Scanner (40</w:t>
      </w:r>
      <w:r w:rsidR="005F09C1">
        <w:rPr>
          <w:rFonts w:ascii="Times New Roman" w:hAnsi="Times New Roman" w:cs="Times New Roman"/>
        </w:rPr>
        <w:t>×</w:t>
      </w:r>
      <w:r w:rsidRPr="00AE0186">
        <w:rPr>
          <w:rFonts w:ascii="Times New Roman" w:hAnsi="Times New Roman" w:cs="Times New Roman"/>
        </w:rPr>
        <w:t xml:space="preserve"> magnification, Leica Microsystems, Germany), resulting in images of 0.25 </w:t>
      </w:r>
      <w:r w:rsidR="005E7E1E">
        <w:rPr>
          <w:rFonts w:ascii="Times New Roman" w:hAnsi="Times New Roman" w:cs="Times New Roman"/>
        </w:rPr>
        <w:t>×</w:t>
      </w:r>
      <w:r w:rsidRPr="00AE0186">
        <w:rPr>
          <w:rFonts w:ascii="Times New Roman" w:hAnsi="Times New Roman" w:cs="Times New Roman"/>
        </w:rPr>
        <w:t xml:space="preserve"> 0.25 μm</w:t>
      </w:r>
      <w:r w:rsidRPr="00AE0186">
        <w:rPr>
          <w:rFonts w:ascii="Times New Roman" w:hAnsi="Times New Roman" w:cs="Times New Roman"/>
          <w:vertAlign w:val="superscript"/>
        </w:rPr>
        <w:t xml:space="preserve">2 </w:t>
      </w:r>
      <w:r w:rsidRPr="00AE0186">
        <w:rPr>
          <w:rFonts w:ascii="Times New Roman" w:hAnsi="Times New Roman" w:cs="Times New Roman"/>
        </w:rPr>
        <w:t>resolution. Image post-processing was performed in MATLAB, where the tissue ink was relocated on the magnified images, allowing proper alignment of the digitized histological images and the MR images. Figure 1 visualizes the process of producing digital histology images for subsequent alignment with the corresponding MR parameter maps.</w:t>
      </w:r>
    </w:p>
    <w:p w14:paraId="530533EE" w14:textId="77777777"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t>Place holder Fig 1</w:t>
      </w:r>
    </w:p>
    <w:p w14:paraId="09A60E00" w14:textId="77777777" w:rsidR="00AE0186" w:rsidRPr="00AE0186" w:rsidRDefault="00AE0186" w:rsidP="00AE0186">
      <w:pPr>
        <w:spacing w:line="240" w:lineRule="auto"/>
        <w:jc w:val="both"/>
        <w:rPr>
          <w:rFonts w:ascii="Times New Roman" w:hAnsi="Times New Roman" w:cs="Times New Roman"/>
          <w:color w:val="FF0000"/>
        </w:rPr>
      </w:pPr>
      <w:r w:rsidRPr="00AE0186">
        <w:rPr>
          <w:rFonts w:ascii="Times New Roman" w:hAnsi="Times New Roman" w:cs="Times New Roman"/>
        </w:rPr>
        <w:t xml:space="preserve">Four different stains were applied to adjacent tumour sections: </w:t>
      </w:r>
      <w:r w:rsidRPr="00AE0186" w:rsidDel="005F17C4">
        <w:rPr>
          <w:rFonts w:ascii="Times New Roman" w:hAnsi="Times New Roman" w:cs="Times New Roman"/>
        </w:rPr>
        <w:t>haematoxylin-eosin (HE</w:t>
      </w:r>
      <w:r w:rsidRPr="00AE0186">
        <w:rPr>
          <w:rFonts w:ascii="Times New Roman" w:hAnsi="Times New Roman" w:cs="Times New Roman"/>
        </w:rPr>
        <w:t xml:space="preserve">, </w:t>
      </w:r>
      <w:r w:rsidRPr="00AE0186" w:rsidDel="005F17C4">
        <w:rPr>
          <w:rFonts w:ascii="Times New Roman" w:hAnsi="Times New Roman" w:cs="Times New Roman"/>
        </w:rPr>
        <w:t>Tissue-Tek Prisma</w:t>
      </w:r>
      <w:r w:rsidRPr="00AE0186">
        <w:rPr>
          <w:rFonts w:ascii="Times New Roman" w:hAnsi="Times New Roman" w:cs="Times New Roman"/>
        </w:rPr>
        <w:t>,</w:t>
      </w:r>
      <w:r w:rsidRPr="00AE0186" w:rsidDel="005F17C4">
        <w:rPr>
          <w:rFonts w:ascii="Times New Roman" w:hAnsi="Times New Roman" w:cs="Times New Roman"/>
        </w:rPr>
        <w:t xml:space="preserve"> Sakura</w:t>
      </w:r>
      <w:r w:rsidRPr="00AE0186">
        <w:rPr>
          <w:rFonts w:ascii="Times New Roman" w:hAnsi="Times New Roman" w:cs="Times New Roman"/>
        </w:rPr>
        <w:t xml:space="preserve"> FineTek, Sweden</w:t>
      </w:r>
      <w:r w:rsidRPr="00AE0186" w:rsidDel="005F17C4">
        <w:rPr>
          <w:rFonts w:ascii="Times New Roman" w:hAnsi="Times New Roman" w:cs="Times New Roman"/>
        </w:rPr>
        <w:t>)</w:t>
      </w:r>
      <w:r w:rsidRPr="00AE0186">
        <w:rPr>
          <w:rFonts w:ascii="Times New Roman" w:hAnsi="Times New Roman" w:cs="Times New Roman"/>
        </w:rPr>
        <w:t xml:space="preserve">, </w:t>
      </w:r>
      <w:r w:rsidRPr="00AE0186" w:rsidDel="005F17C4">
        <w:rPr>
          <w:rFonts w:ascii="Times New Roman" w:hAnsi="Times New Roman" w:cs="Times New Roman"/>
        </w:rPr>
        <w:t xml:space="preserve">Masson Trichrome </w:t>
      </w:r>
      <w:r w:rsidRPr="00AE0186">
        <w:rPr>
          <w:rFonts w:ascii="Times New Roman" w:hAnsi="Times New Roman" w:cs="Times New Roman"/>
        </w:rPr>
        <w:t xml:space="preserve">(MT, </w:t>
      </w:r>
      <w:r w:rsidRPr="00AE0186" w:rsidDel="005F17C4">
        <w:rPr>
          <w:rFonts w:ascii="Times New Roman" w:hAnsi="Times New Roman" w:cs="Times New Roman"/>
        </w:rPr>
        <w:t>Artisan Link</w:t>
      </w:r>
      <w:r w:rsidRPr="00AE0186">
        <w:rPr>
          <w:rFonts w:ascii="Times New Roman" w:hAnsi="Times New Roman" w:cs="Times New Roman"/>
        </w:rPr>
        <w:t>,</w:t>
      </w:r>
      <w:r w:rsidRPr="00AE0186" w:rsidDel="005F17C4">
        <w:rPr>
          <w:rFonts w:ascii="Times New Roman" w:hAnsi="Times New Roman" w:cs="Times New Roman"/>
        </w:rPr>
        <w:t xml:space="preserve"> Dako, Denmark)</w:t>
      </w:r>
      <w:r w:rsidRPr="00AE0186">
        <w:rPr>
          <w:rFonts w:ascii="Times New Roman" w:hAnsi="Times New Roman" w:cs="Times New Roman"/>
        </w:rPr>
        <w:t xml:space="preserve"> and antibodies to Ki67 </w:t>
      </w:r>
      <w:r w:rsidRPr="00AE0186" w:rsidDel="005F17C4">
        <w:rPr>
          <w:rFonts w:ascii="Times New Roman" w:hAnsi="Times New Roman" w:cs="Times New Roman"/>
        </w:rPr>
        <w:t>(</w:t>
      </w:r>
      <w:r w:rsidRPr="00AE0186" w:rsidDel="005F17C4">
        <w:rPr>
          <w:rFonts w:ascii="Times New Roman" w:eastAsia="Times New Roman" w:hAnsi="Times New Roman" w:cs="Times New Roman"/>
        </w:rPr>
        <w:t>AB9260; Merck Milipore)</w:t>
      </w:r>
      <w:r w:rsidRPr="00AE0186">
        <w:rPr>
          <w:rFonts w:ascii="Times New Roman" w:eastAsia="Times New Roman" w:hAnsi="Times New Roman" w:cs="Times New Roman"/>
        </w:rPr>
        <w:t xml:space="preserve"> </w:t>
      </w:r>
      <w:r w:rsidRPr="00AE0186">
        <w:rPr>
          <w:rFonts w:ascii="Times New Roman" w:hAnsi="Times New Roman" w:cs="Times New Roman"/>
        </w:rPr>
        <w:t>and CD31</w:t>
      </w:r>
      <w:r w:rsidRPr="00AE0186" w:rsidDel="005F17C4">
        <w:rPr>
          <w:rFonts w:ascii="Times New Roman" w:eastAsia="Times New Roman" w:hAnsi="Times New Roman" w:cs="Times New Roman"/>
        </w:rPr>
        <w:t xml:space="preserve"> (AB28365; Abcam</w:t>
      </w:r>
      <w:r w:rsidRPr="00AE0186">
        <w:rPr>
          <w:rFonts w:ascii="Times New Roman" w:eastAsia="Times New Roman" w:hAnsi="Times New Roman" w:cs="Times New Roman"/>
        </w:rPr>
        <w:t>, UK</w:t>
      </w:r>
      <w:r w:rsidRPr="00AE0186" w:rsidDel="005F17C4">
        <w:rPr>
          <w:rFonts w:ascii="Times New Roman" w:eastAsia="Times New Roman" w:hAnsi="Times New Roman" w:cs="Times New Roman"/>
        </w:rPr>
        <w:t>)</w:t>
      </w:r>
      <w:r w:rsidRPr="00AE0186">
        <w:rPr>
          <w:rFonts w:ascii="Times New Roman" w:eastAsia="Times New Roman" w:hAnsi="Times New Roman" w:cs="Times New Roman"/>
        </w:rPr>
        <w:t>.</w:t>
      </w:r>
      <w:r w:rsidRPr="00AE0186">
        <w:rPr>
          <w:rFonts w:ascii="Times New Roman" w:hAnsi="Times New Roman" w:cs="Times New Roman"/>
        </w:rPr>
        <w:t xml:space="preserve"> The latter two were </w:t>
      </w:r>
      <w:r w:rsidRPr="00AE0186" w:rsidDel="005F17C4">
        <w:rPr>
          <w:rFonts w:ascii="Times New Roman" w:hAnsi="Times New Roman" w:cs="Times New Roman"/>
        </w:rPr>
        <w:t>pre</w:t>
      </w:r>
      <w:r w:rsidRPr="00AE0186">
        <w:rPr>
          <w:rFonts w:ascii="Times New Roman" w:hAnsi="Times New Roman" w:cs="Times New Roman"/>
        </w:rPr>
        <w:t>-</w:t>
      </w:r>
      <w:r w:rsidRPr="00AE0186" w:rsidDel="005F17C4">
        <w:rPr>
          <w:rFonts w:ascii="Times New Roman" w:hAnsi="Times New Roman" w:cs="Times New Roman"/>
        </w:rPr>
        <w:t>treat</w:t>
      </w:r>
      <w:r w:rsidRPr="00AE0186">
        <w:rPr>
          <w:rFonts w:ascii="Times New Roman" w:hAnsi="Times New Roman" w:cs="Times New Roman"/>
        </w:rPr>
        <w:t xml:space="preserve">ed </w:t>
      </w:r>
      <w:r w:rsidRPr="00AE0186" w:rsidDel="005F17C4">
        <w:rPr>
          <w:rFonts w:ascii="Times New Roman" w:hAnsi="Times New Roman" w:cs="Times New Roman"/>
        </w:rPr>
        <w:t>with EnVision™ FLEX Target Retrieval Solution (high pH; PT-Link; Dako, Denmark) followed by incubations using Envision Flex (Dako</w:t>
      </w:r>
      <w:r w:rsidRPr="00AE0186">
        <w:rPr>
          <w:rFonts w:ascii="Times New Roman" w:hAnsi="Times New Roman" w:cs="Times New Roman"/>
        </w:rPr>
        <w:t>, Denmark</w:t>
      </w:r>
      <w:r w:rsidRPr="00AE0186" w:rsidDel="005F17C4">
        <w:rPr>
          <w:rFonts w:ascii="Times New Roman" w:hAnsi="Times New Roman" w:cs="Times New Roman"/>
        </w:rPr>
        <w:t>). The staining was performed in an Autostainer Link (Dako</w:t>
      </w:r>
      <w:r w:rsidRPr="00AE0186">
        <w:rPr>
          <w:rFonts w:ascii="Times New Roman" w:hAnsi="Times New Roman" w:cs="Times New Roman"/>
        </w:rPr>
        <w:t>, Denmark</w:t>
      </w:r>
      <w:r w:rsidRPr="00AE0186" w:rsidDel="005F17C4">
        <w:rPr>
          <w:rFonts w:ascii="Times New Roman" w:hAnsi="Times New Roman" w:cs="Times New Roman"/>
        </w:rPr>
        <w:t>) following the manufacturer’s instructions</w:t>
      </w:r>
      <w:r w:rsidRPr="00AE0186">
        <w:rPr>
          <w:rFonts w:ascii="Times New Roman" w:hAnsi="Times New Roman" w:cs="Times New Roman"/>
        </w:rPr>
        <w:t xml:space="preserve"> and </w:t>
      </w:r>
      <w:r w:rsidRPr="00AE0186" w:rsidDel="005F17C4">
        <w:rPr>
          <w:rFonts w:ascii="Times New Roman" w:hAnsi="Times New Roman" w:cs="Times New Roman"/>
        </w:rPr>
        <w:t xml:space="preserve">positive and negative controls were included </w:t>
      </w:r>
      <w:r w:rsidRPr="00AE0186">
        <w:rPr>
          <w:rFonts w:ascii="Times New Roman" w:hAnsi="Times New Roman" w:cs="Times New Roman"/>
        </w:rPr>
        <w:t>i</w:t>
      </w:r>
      <w:r w:rsidRPr="00AE0186" w:rsidDel="005F17C4">
        <w:rPr>
          <w:rFonts w:ascii="Times New Roman" w:hAnsi="Times New Roman" w:cs="Times New Roman"/>
        </w:rPr>
        <w:t xml:space="preserve">n each run.  </w:t>
      </w:r>
    </w:p>
    <w:p w14:paraId="4273D5FD" w14:textId="77777777" w:rsidR="00AE0186" w:rsidRPr="00AE0186" w:rsidRDefault="00AE0186" w:rsidP="00AE0186">
      <w:pPr>
        <w:spacing w:after="0" w:line="240" w:lineRule="auto"/>
        <w:jc w:val="both"/>
        <w:rPr>
          <w:rFonts w:ascii="Times New Roman" w:hAnsi="Times New Roman" w:cs="Times New Roman"/>
          <w:b/>
          <w:szCs w:val="24"/>
        </w:rPr>
      </w:pPr>
    </w:p>
    <w:p w14:paraId="70E52964"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Image registration and data sampling</w:t>
      </w:r>
    </w:p>
    <w:p w14:paraId="2271E368" w14:textId="3FAF45DD" w:rsid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Landmark-based manual image registration using the MATLAB control point selection tool was performed to intermutually align the histological images and to register them to the T2-weighted MRI. The MR parameter maps were manually registered to the T2 weighted image by manual adjustment of rotation, translation and scaling. The MATLAB </w:t>
      </w:r>
      <w:r w:rsidRPr="00AE0186">
        <w:rPr>
          <w:rFonts w:ascii="Times New Roman" w:hAnsi="Times New Roman" w:cs="Times New Roman"/>
          <w:i/>
        </w:rPr>
        <w:t>fitgeotrans</w:t>
      </w:r>
      <w:r w:rsidRPr="00AE0186">
        <w:rPr>
          <w:rFonts w:ascii="Times New Roman" w:hAnsi="Times New Roman" w:cs="Times New Roman"/>
        </w:rPr>
        <w:t xml:space="preserve"> function, which essentially fits a geometric transformation to pairs of landmark points defined in the images to be aligned, was then used to infer the transformation matrices linking all images. Tumour regions affected by </w:t>
      </w:r>
      <w:r w:rsidR="00810B2D">
        <w:rPr>
          <w:rFonts w:ascii="Times New Roman" w:hAnsi="Times New Roman" w:cs="Times New Roman"/>
        </w:rPr>
        <w:t xml:space="preserve">obvious </w:t>
      </w:r>
      <w:r w:rsidRPr="00AE0186">
        <w:rPr>
          <w:rFonts w:ascii="Times New Roman" w:hAnsi="Times New Roman" w:cs="Times New Roman"/>
        </w:rPr>
        <w:t>histological tears or folds, MR-related art</w:t>
      </w:r>
      <w:r w:rsidR="007E71EC">
        <w:rPr>
          <w:rFonts w:ascii="Times New Roman" w:hAnsi="Times New Roman" w:cs="Times New Roman"/>
        </w:rPr>
        <w:t>e</w:t>
      </w:r>
      <w:r w:rsidRPr="00AE0186">
        <w:rPr>
          <w:rFonts w:ascii="Times New Roman" w:hAnsi="Times New Roman" w:cs="Times New Roman"/>
        </w:rPr>
        <w:t xml:space="preserve">facts, or where landmarks could not be identified were avoided by performing the registration and data sampling sequentially on tumour sub-regions. Figure 2 </w:t>
      </w:r>
      <w:r w:rsidR="00037CCC">
        <w:rPr>
          <w:rFonts w:ascii="Times New Roman" w:hAnsi="Times New Roman" w:cs="Times New Roman"/>
        </w:rPr>
        <w:t>illustrates</w:t>
      </w:r>
      <w:r w:rsidR="00037CCC" w:rsidRPr="00AE0186">
        <w:rPr>
          <w:rFonts w:ascii="Times New Roman" w:hAnsi="Times New Roman" w:cs="Times New Roman"/>
        </w:rPr>
        <w:t xml:space="preserve"> </w:t>
      </w:r>
      <w:r w:rsidRPr="00AE0186">
        <w:rPr>
          <w:rFonts w:ascii="Times New Roman" w:hAnsi="Times New Roman" w:cs="Times New Roman"/>
        </w:rPr>
        <w:t>how a data sample is taken from a registered tumour sub-region.</w:t>
      </w:r>
      <w:r w:rsidR="00037CCC">
        <w:rPr>
          <w:rFonts w:ascii="Times New Roman" w:hAnsi="Times New Roman" w:cs="Times New Roman"/>
        </w:rPr>
        <w:t xml:space="preserve"> </w:t>
      </w:r>
      <w:r w:rsidR="00810B2D">
        <w:rPr>
          <w:rFonts w:ascii="Times New Roman" w:hAnsi="Times New Roman" w:cs="Times New Roman"/>
        </w:rPr>
        <w:t xml:space="preserve">Before the automatic sampling process of a registered </w:t>
      </w:r>
      <w:r w:rsidR="008E6E15">
        <w:rPr>
          <w:rFonts w:ascii="Times New Roman" w:hAnsi="Times New Roman" w:cs="Times New Roman"/>
        </w:rPr>
        <w:t xml:space="preserve">sub-region </w:t>
      </w:r>
      <w:r w:rsidR="00810B2D">
        <w:rPr>
          <w:rFonts w:ascii="Times New Roman" w:hAnsi="Times New Roman" w:cs="Times New Roman"/>
        </w:rPr>
        <w:t xml:space="preserve">was started, </w:t>
      </w:r>
      <w:r w:rsidR="008E6E15">
        <w:rPr>
          <w:rFonts w:ascii="Times New Roman" w:hAnsi="Times New Roman" w:cs="Times New Roman"/>
        </w:rPr>
        <w:t xml:space="preserve">the histological regions corresponding to each planned </w:t>
      </w:r>
      <w:r w:rsidR="00810B2D">
        <w:rPr>
          <w:rFonts w:ascii="Times New Roman" w:hAnsi="Times New Roman" w:cs="Times New Roman"/>
        </w:rPr>
        <w:t xml:space="preserve">sample position </w:t>
      </w:r>
      <w:r w:rsidR="008E6E15">
        <w:rPr>
          <w:rFonts w:ascii="Times New Roman" w:hAnsi="Times New Roman" w:cs="Times New Roman"/>
        </w:rPr>
        <w:t xml:space="preserve">were sequentially magnified and </w:t>
      </w:r>
      <w:r w:rsidR="00FD7B80">
        <w:rPr>
          <w:rFonts w:ascii="Times New Roman" w:hAnsi="Times New Roman" w:cs="Times New Roman"/>
        </w:rPr>
        <w:t xml:space="preserve">scrutinized. If an </w:t>
      </w:r>
      <w:r w:rsidR="00E82493">
        <w:rPr>
          <w:rFonts w:ascii="Times New Roman" w:hAnsi="Times New Roman" w:cs="Times New Roman"/>
        </w:rPr>
        <w:t>artefact</w:t>
      </w:r>
      <w:r w:rsidR="00FD7B80">
        <w:rPr>
          <w:rFonts w:ascii="Times New Roman" w:hAnsi="Times New Roman" w:cs="Times New Roman"/>
        </w:rPr>
        <w:t xml:space="preserve"> was observed for a particular stain and position, the corresponding histological index was </w:t>
      </w:r>
      <w:r w:rsidR="00E82493">
        <w:rPr>
          <w:rFonts w:ascii="Times New Roman" w:hAnsi="Times New Roman" w:cs="Times New Roman"/>
        </w:rPr>
        <w:t>treated as missing data</w:t>
      </w:r>
      <w:r w:rsidR="00FD7B80">
        <w:rPr>
          <w:rFonts w:ascii="Times New Roman" w:hAnsi="Times New Roman" w:cs="Times New Roman"/>
        </w:rPr>
        <w:t>.</w:t>
      </w:r>
      <w:r w:rsidR="00494BEB">
        <w:rPr>
          <w:rFonts w:ascii="Times New Roman" w:hAnsi="Times New Roman" w:cs="Times New Roman"/>
        </w:rPr>
        <w:t xml:space="preserve"> Similarly, if an MR parameter </w:t>
      </w:r>
      <w:r w:rsidR="00E82493">
        <w:rPr>
          <w:rFonts w:ascii="Times New Roman" w:hAnsi="Times New Roman" w:cs="Times New Roman"/>
        </w:rPr>
        <w:t xml:space="preserve">was not defined according to Table 2 for a particular sample, it was automatically discarded. </w:t>
      </w:r>
    </w:p>
    <w:p w14:paraId="062DCCD9" w14:textId="77777777"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t>Place holder Fig 2</w:t>
      </w:r>
    </w:p>
    <w:p w14:paraId="26185FEC" w14:textId="421810FE"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 xml:space="preserve">Histological </w:t>
      </w:r>
      <w:r w:rsidR="00855E43">
        <w:rPr>
          <w:rFonts w:ascii="Times New Roman" w:hAnsi="Times New Roman" w:cs="Times New Roman"/>
          <w:b/>
          <w:szCs w:val="24"/>
        </w:rPr>
        <w:t>indexing</w:t>
      </w:r>
    </w:p>
    <w:p w14:paraId="1024B854" w14:textId="5A932022"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Histological indices were calculated for each sampling position in area units of 250 </w:t>
      </w:r>
      <w:r w:rsidRPr="00AE0186">
        <w:rPr>
          <w:rFonts w:ascii="Times New Roman" w:eastAsia="MS Gothic" w:hAnsi="Times New Roman" w:cs="Times New Roman"/>
          <w:color w:val="000000"/>
        </w:rPr>
        <w:t>×</w:t>
      </w:r>
      <w:r w:rsidRPr="00AE0186">
        <w:rPr>
          <w:rFonts w:ascii="Times New Roman" w:hAnsi="Times New Roman" w:cs="Times New Roman"/>
        </w:rPr>
        <w:t xml:space="preserve"> 250 μm</w:t>
      </w:r>
      <w:r w:rsidRPr="00AE0186">
        <w:rPr>
          <w:rFonts w:ascii="Times New Roman" w:hAnsi="Times New Roman" w:cs="Times New Roman"/>
          <w:vertAlign w:val="superscript"/>
        </w:rPr>
        <w:t>2</w:t>
      </w:r>
      <w:r w:rsidRPr="00AE0186">
        <w:rPr>
          <w:rFonts w:ascii="Times New Roman" w:hAnsi="Times New Roman" w:cs="Times New Roman"/>
        </w:rPr>
        <w:t xml:space="preserve">, </w:t>
      </w:r>
      <w:r w:rsidRPr="00AE0186">
        <w:rPr>
          <w:rFonts w:ascii="Times New Roman" w:hAnsi="Times New Roman" w:cs="Times New Roman"/>
          <w:i/>
        </w:rPr>
        <w:t>i.e</w:t>
      </w:r>
      <w:r w:rsidRPr="00AE0186">
        <w:rPr>
          <w:rFonts w:ascii="Times New Roman" w:hAnsi="Times New Roman" w:cs="Times New Roman"/>
        </w:rPr>
        <w:t>. dimensions similar to the in-plane resolution of the MR experiments.</w:t>
      </w:r>
      <w:r w:rsidRPr="00AE0186">
        <w:rPr>
          <w:rFonts w:ascii="Times New Roman" w:hAnsi="Times New Roman" w:cs="Times New Roman"/>
          <w:vertAlign w:val="superscript"/>
        </w:rPr>
        <w:t xml:space="preserve"> </w:t>
      </w:r>
      <w:r w:rsidRPr="00AE0186">
        <w:rPr>
          <w:rFonts w:ascii="Times New Roman" w:hAnsi="Times New Roman" w:cs="Times New Roman"/>
        </w:rPr>
        <w:t>The HE segmentation was based on previously presented principles</w:t>
      </w:r>
      <w:r w:rsidR="001B2E37">
        <w:rPr>
          <w:rFonts w:ascii="Times New Roman" w:hAnsi="Times New Roman" w:cs="Times New Roman"/>
        </w:rPr>
        <w:t xml:space="preserve"> </w:t>
      </w:r>
      <w:r w:rsidR="001B2E37">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{"citationItems":[{"id":"ITEM-1","itemData":{"DOI":"10.1371/journal.pone.0070221","ISBN":"1932-6203 (Electronic)\\r1932-6203 (Linking)","ISSN":"19326203","PMID":"23922958","abstract":"The introduction of fast digital slide scanners that provide whole slide images has led to a revival of interest in image analysis applications in pathology. Segmentation of cells and nuclei is an important first step towards automatic analysis of digitized microscopy images. We therefore developed an automated nuclei segmentation method that works with hematoxylin and eosin (H&amp;E) stained breast cancer histopathology images, which represent regions of whole digital slides. The procedure can be divided into four main steps: 1) pre-processing with color unmixing and morphological operators, 2) marker-controlled watershed segmentation at multiple scales and with different markers, 3) post-processing for rejection of false regions and 4) merging of the results from multiple scales. The procedure was developed on a set of 21 breast cancer cases (subset A) and tested on a separate validation set of 18 cases (subset B). The evaluation was done in terms of both detection accuracy (sensitivity and positive predictive value) and segmentation accuracy (Dice coefficient). The mean estimated sensitivity for subset A was 0.875 (±0.092) and for subset B 0.853 (±0.077). The mean estimated positive predictive value was 0.904 (±0.075) and 0.886 (±0.069) for subsets A and B, respectively. For both subsets, the distribution of the Dice coefficients had a high peak around 0.9, with the vast majority of segmentations having values larger than 0.8.","author":[{"dropping-particle":"","family":"Veta","given":"Mitko","non-dropping-particle":"","parse-names":false,"suffix":""},{"dropping-particle":"","family":"Diest","given":"Paul J.","non-dropping-particle":"van","parse-names":false,"suffix":""},{"dropping-particle":"","family":"Kornegoor","given":"Robert","non-dropping-particle":"","parse-names":false,"suffix":""},{"dropping-particle":"","family":"Huisman","given":"André","non-dropping-particle":"","parse-names":false,"suffix":""},{"dropping-particle":"","family":"Viergever","given":"Max A.","non-dropping-particle":"","parse-names":false,"suffix":""},{"dropping-particle":"","family":"Pluim","given":"Josien P.W.","non-dropping-particle":"","parse-names":false,"suffix":""}],"container-title":"PLoS ONE","id":"ITEM-1","issue":"7","issued":{"date-parts":[["2013"]]},"title":"Automatic Nuclei Segmentation in H&amp;E Stained Breast Cancer Histopathology Images","type":"article-journal","volume":"8"},"uris":["http://www.mendeley.com/documents/?uuid=083ffe3e-20df-41db-a14d-8ae6df7c4567","http://www.mendeley.com/documents/?uuid=c731169f-945d-4ee1-92c4-cc6023c7cdf3"]}],"mendeley":{"formattedCitation":"&lt;sup&gt;19&lt;/sup&gt;","plainTextFormattedCitation":"19","previouslyFormattedCitation":"&lt;sup&gt;19&lt;/sup&gt;"},"properties":{"noteIndex":0},"schema":"https://github.com/citation-style-language/schema/raw/master/csl-citation.json"}</w:instrText>
      </w:r>
      <w:r w:rsidR="001B2E37">
        <w:rPr>
          <w:rFonts w:ascii="Times New Roman" w:hAnsi="Times New Roman" w:cs="Times New Roman"/>
        </w:rPr>
        <w:fldChar w:fldCharType="separate"/>
      </w:r>
      <w:r w:rsidR="000475DF" w:rsidRPr="000475DF">
        <w:rPr>
          <w:rFonts w:ascii="Times New Roman" w:hAnsi="Times New Roman" w:cs="Times New Roman"/>
          <w:noProof/>
          <w:vertAlign w:val="superscript"/>
        </w:rPr>
        <w:t>19</w:t>
      </w:r>
      <w:r w:rsidR="001B2E37">
        <w:rPr>
          <w:rFonts w:ascii="Times New Roman" w:hAnsi="Times New Roman" w:cs="Times New Roman"/>
        </w:rPr>
        <w:fldChar w:fldCharType="end"/>
      </w:r>
      <w:r w:rsidRPr="00AE0186">
        <w:rPr>
          <w:rFonts w:ascii="Times New Roman" w:hAnsi="Times New Roman" w:cs="Times New Roman"/>
        </w:rPr>
        <w:t>. In brief, a normalization algorithm was used to account for inconsistencies in the preparation and staining process. Normalized images were converted to grey-scale intensity images and subjected to a modified watershed segmentation to detect cell shaped objects (round to oval). Colour thresholding was then used to identify tumour cells with dark stained nuclei. Assuming that the dark stain represented condensed chromatin due to apoptosis (</w:t>
      </w:r>
      <w:r w:rsidRPr="00AE0186">
        <w:rPr>
          <w:rFonts w:ascii="Times New Roman" w:hAnsi="Times New Roman" w:cs="Times New Roman"/>
          <w:i/>
        </w:rPr>
        <w:t>c.f.</w:t>
      </w:r>
      <w:r w:rsidR="001B2E37">
        <w:rPr>
          <w:rFonts w:ascii="Times New Roman" w:hAnsi="Times New Roman" w:cs="Times New Roman"/>
          <w:i/>
        </w:rPr>
        <w:t xml:space="preserve"> </w:t>
      </w:r>
      <w:r w:rsidR="001B2E37">
        <w:rPr>
          <w:rFonts w:ascii="Times New Roman" w:hAnsi="Times New Roman" w:cs="Times New Roman"/>
          <w:i/>
        </w:rPr>
        <w:fldChar w:fldCharType="begin" w:fldLock="1"/>
      </w:r>
      <w:r w:rsidR="00B619EB">
        <w:rPr>
          <w:rFonts w:ascii="Times New Roman" w:hAnsi="Times New Roman" w:cs="Times New Roman"/>
          <w:i/>
        </w:rPr>
        <w:instrText>ADDIN CSL_CITATION {"citationItems":[{"id":"ITEM-1","itemData":{"DOI":"10.1038/sj.cdd.4401724","ISBN":"1476-5403 (Electronic)\\r1350-9047 (Linking)","ISSN":"1350-9047","PMID":"18846107","abstract":"Different types of cell death are often defined by morphological criteria, without a clear reference to precise biochemical mechanisms. The Nomenclature Committee on Cell Death (NCCD) proposes unified criteria for the definition of cell death and of its different morphologies, while formulating several caveats against the misuse of words and concepts that slow down progress in the area of cell death research. Authors, reviewers and editors of scientific periodicals are invited to abandon expressions like 'percentage apoptosis' and to replace them with more accurate descriptions of the biochemical and cellular parameters that are actually measured. Moreover, at the present stage, it should be accepted that caspase-independent mechanisms can cooperate with (or substitute for) caspases in the execution of lethal signaling pathways and that 'autophagic cell death' is a type of cell death occurring together with (but not necessarily by) autophagic vacuolization. This study details the 2009 recommendations of the NCCD on the use of cell death-related terminology including 'entosis', 'mitotic catastrophe', 'necrosis', 'necroptosis' and 'pyroptosis'.","author":[{"dropping-particle":"","family":"Kroemer","given":"G","non-dropping-particle":"","parse-names":false,"suffix":""},{"dropping-particle":"","family":"El-Deiry","given":"W S","non-dropping-particle":"","parse-names":false,"suffix":""},{"dropping-particle":"","family":"Golstein","given":"P","non-dropping-particle":"","parse-names":false,"suffix":""},{"dropping-particle":"","family":"Peter","given":"M E","non-dropping-particle":"","parse-names":false,"suffix":""},{"dropping-particle":"","family":"Vaux","given":"D","non-dropping-particle":"","parse-names":false,"suffix":""},{"dropping-particle":"","family":"Vandenabeele","given":"P","non-dropping-particle":"","parse-names":false,"suffix":""},{"dropping-particle":"","family":"Zhivotovsky","given":"B","non-dropping-particle":"","parse-names":false,"suffix":""},{"dropping-particle":"V","family":"Blagosklonny","given":"M","non-dropping-particle":"","parse-names":false,"suffix":""},{"dropping-particle":"","family":"Malorni","given":"W","non-dropping-particle":"","parse-names":false,"suffix":""},{"dropping-particle":"","family":"Knight","given":"R A","non-dropping-particle":"","parse-names":false,"suffix":""},{"dropping-particle":"","family":"Piacentini","given":"M","non-dropping-particle":"","parse-names":false,"suffix":""},{"dropping-particle":"","family":"Nagata","given":"S","non-dropping-particle":"","parse-names":false,"suffix":""},{"dropping-particle":"","family":"Melino","given":"G","non-dropping-particle":"","parse-names":false,"suffix":""}],"container-title":"Cell Death and Differentiation","id":"ITEM-1","issued":{"date-parts":[["2005"]]},"page":"1463-1467","title":"Classification of cell death: recommendations of the Nomenclature Committee on Cell Death","type":"article-journal","volume":"12"},"uris":["http://www.mendeley.com/documents/?uuid=a64dd1d4-ac25-4144-9928-053f152d1d57"]}],"mendeley":{"formattedCitation":"&lt;sup&gt;20&lt;/sup&gt;","plainTextFormattedCitation":"20","previouslyFormattedCitation":"&lt;sup&gt;20&lt;/sup&gt;"},"properties":{"noteIndex":0},"schema":"https://github.com/citation-style-language/schema/raw/master/csl-citation.json"}</w:instrText>
      </w:r>
      <w:r w:rsidR="001B2E37">
        <w:rPr>
          <w:rFonts w:ascii="Times New Roman" w:hAnsi="Times New Roman" w:cs="Times New Roman"/>
          <w:i/>
        </w:rPr>
        <w:fldChar w:fldCharType="separate"/>
      </w:r>
      <w:r w:rsidR="000475DF" w:rsidRPr="000475DF">
        <w:rPr>
          <w:rFonts w:ascii="Times New Roman" w:hAnsi="Times New Roman" w:cs="Times New Roman"/>
          <w:noProof/>
          <w:vertAlign w:val="superscript"/>
        </w:rPr>
        <w:t>20</w:t>
      </w:r>
      <w:r w:rsidR="001B2E37">
        <w:rPr>
          <w:rFonts w:ascii="Times New Roman" w:hAnsi="Times New Roman" w:cs="Times New Roman"/>
          <w:i/>
        </w:rPr>
        <w:fldChar w:fldCharType="end"/>
      </w:r>
      <w:r w:rsidRPr="00AE0186">
        <w:rPr>
          <w:rFonts w:ascii="Times New Roman" w:hAnsi="Times New Roman" w:cs="Times New Roman"/>
        </w:rPr>
        <w:t>), the apoptotic tumour cell count (HEcount) was defined as the number of apoptotic cells per area unit.</w:t>
      </w:r>
    </w:p>
    <w:p w14:paraId="6BC02EF4"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Ki67 positive tumour cells were identified using the method described for HEcount, but did not require normalization prior to watershed segmentation due to the higher contrast between cells and background tissue. The colour threshold was set to detect only cells with brown stained Ki67 positive chromatin. Proliferating tumour cell count (Ki67count) was thus defined as the number of Ki67 positive cells per area unit.</w:t>
      </w:r>
    </w:p>
    <w:p w14:paraId="46D62892"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lastRenderedPageBreak/>
        <w:t xml:space="preserve">Micro-vessel density (MVD) and fibrotic density (FD) were determined by colour thresholding only, and defined as the fraction of CD31 and MT positive area per area unit, respectively. </w:t>
      </w:r>
    </w:p>
    <w:p w14:paraId="20DF5277"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The segmentation and indexing performance was validated by a board certified pathologist (ON), and examples are shown in Figure 3.</w:t>
      </w:r>
    </w:p>
    <w:p w14:paraId="326B6883"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Data collection &amp; statistics</w:t>
      </w:r>
    </w:p>
    <w:p w14:paraId="5D9535CA"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All data analyses and statistical tests were performed in MATLAB.</w:t>
      </w:r>
    </w:p>
    <w:p w14:paraId="11D16C25"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Non-normally distributed MR parameters or histological indices were transformed to approximately normal distributions using the Box-Cox power transformation (MATLAB </w:t>
      </w:r>
      <w:r w:rsidRPr="00AE0186">
        <w:rPr>
          <w:rFonts w:ascii="Times New Roman" w:hAnsi="Times New Roman" w:cs="Times New Roman"/>
          <w:i/>
        </w:rPr>
        <w:t>boxcox</w:t>
      </w:r>
      <w:r w:rsidRPr="00AE0186">
        <w:rPr>
          <w:rFonts w:ascii="Times New Roman" w:hAnsi="Times New Roman" w:cs="Times New Roman"/>
        </w:rPr>
        <w:t xml:space="preserve"> function).</w:t>
      </w:r>
    </w:p>
    <w:p w14:paraId="2A2E77D9"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A linear mixed-effects model including intercept and slope for both fixed and random effects was used to investigate the pairwise correlations between each MR parameter and histological index, where tumour number (1-5) accounted for random effects, such as differences in tissue preparation, staining concentration, colour thresholding and coil configuration. Observations containing missing values in the pairwise comparisons were omitted. A p-value &lt; 5.0 </w:t>
      </w:r>
      <w:r w:rsidRPr="00AE0186">
        <w:rPr>
          <w:rFonts w:ascii="Times New Roman" w:eastAsia="MS Gothic" w:hAnsi="Times New Roman" w:cs="Times New Roman"/>
          <w:color w:val="000000"/>
        </w:rPr>
        <w:t>×</w:t>
      </w:r>
      <w:r w:rsidRPr="00AE0186">
        <w:rPr>
          <w:rFonts w:ascii="Times New Roman" w:hAnsi="Times New Roman" w:cs="Times New Roman"/>
        </w:rPr>
        <w:t xml:space="preserve"> 10</w:t>
      </w:r>
      <w:r w:rsidRPr="00AE0186">
        <w:rPr>
          <w:rFonts w:ascii="Times New Roman" w:hAnsi="Times New Roman" w:cs="Times New Roman"/>
          <w:vertAlign w:val="superscript"/>
        </w:rPr>
        <w:t>-4</w:t>
      </w:r>
      <w:r w:rsidRPr="00AE0186">
        <w:rPr>
          <w:rFonts w:ascii="Times New Roman" w:hAnsi="Times New Roman" w:cs="Times New Roman"/>
        </w:rPr>
        <w:t xml:space="preserve"> (0.05 adjusted for multiple comparisons) for the fixed effects variable was regarded statistically significant. </w:t>
      </w:r>
    </w:p>
    <w:p w14:paraId="53B88058"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A statistically significant correlation was further evaluated on a per-animal basis. Five-fold cross-validation of a simple linear regression model between the MR parameter and the histological index was calculated, and the mean squared error of the cross validation, normalised to the squared mean of the histological index was used to indicate the predictive power of the correlation. The normalization enabled comparison between histological indices.</w:t>
      </w:r>
    </w:p>
    <w:p w14:paraId="682098DE" w14:textId="1A992422"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To study similarities and differences between histological indices and MR parameters, agglomerative hierarchical clustering was performed on the normalised parameters, omitting observations containing missing values. The single linkage distance measure was evaluated due to its invariance to </w:t>
      </w:r>
      <w:r w:rsidR="001352ED">
        <w:rPr>
          <w:rFonts w:ascii="Times New Roman" w:hAnsi="Times New Roman" w:cs="Times New Roman"/>
        </w:rPr>
        <w:br/>
      </w:r>
      <w:r w:rsidRPr="00AE0186">
        <w:rPr>
          <w:rFonts w:ascii="Times New Roman" w:hAnsi="Times New Roman" w:cs="Times New Roman"/>
        </w:rPr>
        <w:t xml:space="preserve">transforms </w:t>
      </w:r>
      <w:r w:rsidR="001B2E37">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{"citationItems":[{"id":"ITEM-1","itemData":{"DOI":"10.1007/b94608","ISBN":"978-0-387-84857-0","ISSN":"0172-7397","PMID":"12377617","abstract":"During the past decade there has been an explosion in computation and information technology. With it has come vast amounts of data in a variety of fields such as medicine, biology, finance, and marketing. The challenge of understanding these data has led to the development of new tools in the field of statistics, and spawned new areas such as data mining, machine learning, and bioinformatics. Many of these tools have common underpinnings but are often expressed with different terminology. This book describes the important ideas in these areas in a common conceptual framework. While the approach is statistical, the emphasis is on concepts rather than mathematics. Many examples are given, with a liberal use of color graphics. It should be a valuable resource for statisticians and anyone interested in data mining in science or industry. The book's coverage is broad, from supervised learning (prediction) to unsupervised learning. The many topics include neural networks, support vector machines, classification trees and boosting-the first comprehensive treatment of this topic in any book. Trevor Hastie, Robert Tibshirani, and Jerome Friedman are professors of statistics at Stanford University. They are prominent researchers in this area: Hastie and Tibshirani developed generalized additive models and wrote a popular book of that title. Hastie wrote much of the statistical modeling software in S-PLUS and invented principal curves and surfaces. Tibshirani proposed the Lasso and is co-author of the very successful An Introduction to the Bootstrap. Friedman is the co-inventor of many data-mining tools including CART, MARS, and projection pursuit. FROM THE REVIEWS: TECHNOMETRICS \"This is a vast and complex book. Generally, it concentrates on explaining why and how the methods work, rather than how to use them. Examples and especially the visualizations are principle features...As a source for the methods of statistical learning...it will probably be a long time before there is a competitor to this book.\"","author":[{"dropping-particle":"","family":"Hastie","given":"Trevor","non-dropping-particle":"","parse-names":false,"suffix":""},{"dropping-particle":"","family":"Tibshirani","given":"Robert","non-dropping-particle":"","parse-names":false,"suffix":""},{"dropping-particle":"","family":"Friedman","given":"Jerome","non-dropping-particle":"","parse-names":false,"suffix":""}],"container-title":"Bayesian Forecasting and Dynamic Models","id":"ITEM-1","issued":{"date-parts":[["2009"]]},"page":"1-694","title":"The Elements of Statistical Learning","type":"article-journal","volume":"1"},"uris":["http://www.mendeley.com/documents/?uuid=acf33cd9-6b53-47fa-921b-692c1a76b043"]}],"mendeley":{"formattedCitation":"&lt;sup&gt;21&lt;/sup&gt;","plainTextFormattedCitation":"21","previouslyFormattedCitation":"&lt;sup&gt;21&lt;/sup&gt;"},"properties":{"noteIndex":0},"schema":"https://github.com/citation-style-language/schema/raw/master/csl-citation.json"}</w:instrText>
      </w:r>
      <w:r w:rsidR="001B2E37">
        <w:rPr>
          <w:rFonts w:ascii="Times New Roman" w:hAnsi="Times New Roman" w:cs="Times New Roman"/>
        </w:rPr>
        <w:fldChar w:fldCharType="separate"/>
      </w:r>
      <w:r w:rsidR="000475DF" w:rsidRPr="000475DF">
        <w:rPr>
          <w:rFonts w:ascii="Times New Roman" w:hAnsi="Times New Roman" w:cs="Times New Roman"/>
          <w:noProof/>
          <w:vertAlign w:val="superscript"/>
        </w:rPr>
        <w:t>21</w:t>
      </w:r>
      <w:r w:rsidR="001B2E37">
        <w:rPr>
          <w:rFonts w:ascii="Times New Roman" w:hAnsi="Times New Roman" w:cs="Times New Roman"/>
        </w:rPr>
        <w:fldChar w:fldCharType="end"/>
      </w:r>
      <w:r w:rsidR="001B2E37">
        <w:rPr>
          <w:rFonts w:ascii="Times New Roman" w:hAnsi="Times New Roman" w:cs="Times New Roman"/>
        </w:rPr>
        <w:t>.</w:t>
      </w:r>
    </w:p>
    <w:p w14:paraId="459561E0"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Results</w:t>
      </w:r>
    </w:p>
    <w:p w14:paraId="0ED8B76E" w14:textId="77777777"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Image quality and registration performance</w:t>
      </w:r>
    </w:p>
    <w:p w14:paraId="2B019D67" w14:textId="66DCA339" w:rsidR="00AE0186" w:rsidRPr="00AE0186" w:rsidRDefault="00AE0186" w:rsidP="00AE0186">
      <w:pPr>
        <w:spacing w:after="240"/>
        <w:rPr>
          <w:rFonts w:ascii="Times New Roman" w:hAnsi="Times New Roman" w:cs="Times New Roman"/>
        </w:rPr>
      </w:pPr>
      <w:r w:rsidRPr="00AE0186">
        <w:rPr>
          <w:rFonts w:ascii="Times New Roman" w:hAnsi="Times New Roman" w:cs="Times New Roman"/>
        </w:rPr>
        <w:t xml:space="preserve">In general, the 19 MR-derived tissue parameters that were evaluated (Table 2) produced parametric images of good quality, except for the IVIM pseudo diffusion coefficient </w:t>
      </w:r>
      <w:r w:rsidRPr="00AE0186">
        <w:rPr>
          <w:rFonts w:ascii="Times New Roman" w:hAnsi="Times New Roman" w:cs="Times New Roman"/>
          <w:i/>
        </w:rPr>
        <w:t>D*</w:t>
      </w:r>
      <w:r w:rsidR="004E27EF" w:rsidRPr="00230E76">
        <w:rPr>
          <w:rFonts w:ascii="Times New Roman" w:hAnsi="Times New Roman" w:cs="Times New Roman"/>
        </w:rPr>
        <w:t xml:space="preserve">, </w:t>
      </w:r>
      <w:r w:rsidR="00300939">
        <w:rPr>
          <w:rFonts w:ascii="Times New Roman" w:hAnsi="Times New Roman" w:cs="Times New Roman"/>
        </w:rPr>
        <w:t xml:space="preserve">which was </w:t>
      </w:r>
      <w:r w:rsidR="00F82347">
        <w:rPr>
          <w:rFonts w:ascii="Times New Roman" w:hAnsi="Times New Roman" w:cs="Times New Roman"/>
        </w:rPr>
        <w:t xml:space="preserve">mostly </w:t>
      </w:r>
      <w:r w:rsidR="00300939">
        <w:rPr>
          <w:rFonts w:ascii="Times New Roman" w:hAnsi="Times New Roman" w:cs="Times New Roman"/>
        </w:rPr>
        <w:t>assigned either of the parameter limit values in the fitting procedure</w:t>
      </w:r>
      <w:r w:rsidR="00866C95">
        <w:rPr>
          <w:rFonts w:ascii="Times New Roman" w:hAnsi="Times New Roman" w:cs="Times New Roman"/>
        </w:rPr>
        <w:t xml:space="preserve"> (Table 2)</w:t>
      </w:r>
      <w:r w:rsidRPr="00AE0186">
        <w:rPr>
          <w:rFonts w:ascii="Times New Roman" w:hAnsi="Times New Roman" w:cs="Times New Roman"/>
        </w:rPr>
        <w:t xml:space="preserve">. The results based on </w:t>
      </w:r>
      <w:r w:rsidRPr="00AE0186">
        <w:rPr>
          <w:rFonts w:ascii="Times New Roman" w:hAnsi="Times New Roman" w:cs="Times New Roman"/>
          <w:i/>
        </w:rPr>
        <w:t>D*</w:t>
      </w:r>
      <w:r w:rsidRPr="00AE0186">
        <w:rPr>
          <w:rFonts w:ascii="Times New Roman" w:hAnsi="Times New Roman" w:cs="Times New Roman"/>
        </w:rPr>
        <w:t xml:space="preserve"> are thus inconclusive.</w:t>
      </w:r>
      <w:r w:rsidRPr="00AE0186">
        <w:rPr>
          <w:rFonts w:ascii="Times New Roman" w:hAnsi="Times New Roman" w:cs="Times New Roman"/>
          <w:i/>
        </w:rPr>
        <w:t xml:space="preserve"> </w:t>
      </w:r>
    </w:p>
    <w:p w14:paraId="780032DC" w14:textId="77777777" w:rsidR="00AE0186" w:rsidRPr="00AE0186" w:rsidRDefault="00AE0186" w:rsidP="00AE0186">
      <w:pPr>
        <w:keepNext/>
        <w:spacing w:line="240" w:lineRule="auto"/>
        <w:jc w:val="both"/>
        <w:rPr>
          <w:rFonts w:ascii="Times New Roman" w:hAnsi="Times New Roman" w:cs="Times New Roman"/>
        </w:rPr>
      </w:pPr>
      <w:r w:rsidRPr="00AE0186">
        <w:rPr>
          <w:rFonts w:ascii="Times New Roman" w:hAnsi="Times New Roman" w:cs="Times New Roman"/>
        </w:rPr>
        <w:t xml:space="preserve">The image quality of the MR technique most sensitive to image distortions (EPI-based DWI for estimation of </w:t>
      </w:r>
      <w:r w:rsidRPr="00AE0186">
        <w:rPr>
          <w:rFonts w:ascii="Times New Roman" w:hAnsi="Times New Roman" w:cs="Times New Roman"/>
          <w:i/>
        </w:rPr>
        <w:t>ADC, D, D*</w:t>
      </w:r>
      <w:r w:rsidRPr="00AE0186">
        <w:rPr>
          <w:rFonts w:ascii="Times New Roman" w:hAnsi="Times New Roman" w:cs="Times New Roman"/>
        </w:rPr>
        <w:t xml:space="preserve"> and </w:t>
      </w:r>
      <w:r w:rsidRPr="00AE0186">
        <w:rPr>
          <w:rFonts w:ascii="Times New Roman" w:hAnsi="Times New Roman" w:cs="Times New Roman"/>
          <w:i/>
        </w:rPr>
        <w:t>f</w:t>
      </w:r>
      <w:r w:rsidRPr="00AE0186">
        <w:rPr>
          <w:rFonts w:ascii="Times New Roman" w:hAnsi="Times New Roman" w:cs="Times New Roman"/>
        </w:rPr>
        <w:t>) is shown for tumour 2 in Figure 2. The figure shows that, by visual evaluation, the sub-regions in the MR images and histological sections could be well aligned by image registration.</w:t>
      </w:r>
    </w:p>
    <w:p w14:paraId="3AAC15D6" w14:textId="186722C4" w:rsidR="00AE0186" w:rsidRPr="00AE0186" w:rsidRDefault="00AE0186" w:rsidP="00AE0186">
      <w:pPr>
        <w:spacing w:after="0" w:line="240" w:lineRule="auto"/>
        <w:jc w:val="both"/>
        <w:rPr>
          <w:rFonts w:ascii="Times New Roman" w:hAnsi="Times New Roman" w:cs="Times New Roman"/>
          <w:b/>
          <w:szCs w:val="24"/>
        </w:rPr>
      </w:pPr>
      <w:r w:rsidRPr="00AE0186">
        <w:rPr>
          <w:rFonts w:ascii="Times New Roman" w:hAnsi="Times New Roman" w:cs="Times New Roman"/>
          <w:b/>
          <w:szCs w:val="24"/>
        </w:rPr>
        <w:t xml:space="preserve">Tissue segmentation </w:t>
      </w:r>
      <w:r w:rsidR="00855E43">
        <w:rPr>
          <w:rFonts w:ascii="Times New Roman" w:hAnsi="Times New Roman" w:cs="Times New Roman"/>
          <w:b/>
          <w:szCs w:val="24"/>
        </w:rPr>
        <w:t>and</w:t>
      </w:r>
      <w:r w:rsidR="00855E43" w:rsidRPr="00AE0186">
        <w:rPr>
          <w:rFonts w:ascii="Times New Roman" w:hAnsi="Times New Roman" w:cs="Times New Roman"/>
          <w:b/>
          <w:szCs w:val="24"/>
        </w:rPr>
        <w:t xml:space="preserve"> </w:t>
      </w:r>
      <w:r w:rsidRPr="00AE0186">
        <w:rPr>
          <w:rFonts w:ascii="Times New Roman" w:hAnsi="Times New Roman" w:cs="Times New Roman"/>
          <w:b/>
          <w:szCs w:val="24"/>
        </w:rPr>
        <w:t>histological indexing</w:t>
      </w:r>
    </w:p>
    <w:p w14:paraId="76CE8C94" w14:textId="64A1F033"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Results from the automatic segmentation of histological images used for index calculation are shown </w:t>
      </w:r>
      <w:r w:rsidR="002F1B91">
        <w:rPr>
          <w:rFonts w:ascii="Times New Roman" w:hAnsi="Times New Roman" w:cs="Times New Roman"/>
        </w:rPr>
        <w:t xml:space="preserve">for </w:t>
      </w:r>
      <w:r w:rsidR="002F1B91" w:rsidRPr="00AE0186">
        <w:rPr>
          <w:rFonts w:ascii="Times New Roman" w:hAnsi="Times New Roman" w:cs="Times New Roman"/>
        </w:rPr>
        <w:t>tumour no. 4</w:t>
      </w:r>
      <w:r w:rsidR="002F1B91">
        <w:rPr>
          <w:rFonts w:ascii="Times New Roman" w:hAnsi="Times New Roman" w:cs="Times New Roman"/>
        </w:rPr>
        <w:t xml:space="preserve"> </w:t>
      </w:r>
      <w:r w:rsidRPr="00AE0186">
        <w:rPr>
          <w:rFonts w:ascii="Times New Roman" w:hAnsi="Times New Roman" w:cs="Times New Roman"/>
        </w:rPr>
        <w:t xml:space="preserve">in Figure 3. The combination of the algorithm for cell detection and colour thresholding </w:t>
      </w:r>
      <w:r w:rsidR="002F4D77">
        <w:rPr>
          <w:rFonts w:ascii="Times New Roman" w:hAnsi="Times New Roman" w:cs="Times New Roman"/>
        </w:rPr>
        <w:t xml:space="preserve">facilitated </w:t>
      </w:r>
      <w:r w:rsidR="000A73CE">
        <w:rPr>
          <w:rFonts w:ascii="Times New Roman" w:hAnsi="Times New Roman" w:cs="Times New Roman"/>
        </w:rPr>
        <w:t xml:space="preserve">automatic </w:t>
      </w:r>
      <w:r w:rsidRPr="00AE0186">
        <w:rPr>
          <w:rFonts w:ascii="Times New Roman" w:hAnsi="Times New Roman" w:cs="Times New Roman"/>
        </w:rPr>
        <w:t>identification of apoptotic cells in the HE images (Figure 3d) and proliferating cells in the Ki67 images (Figure 3f). Fibrotic tissue (Figure 3h), and vascular endothelial cell presence (Figure 3j) were also adequately identified in the MT and CD31 images, respectively.</w:t>
      </w:r>
      <w:r w:rsidR="000A73CE">
        <w:rPr>
          <w:rFonts w:ascii="Times New Roman" w:hAnsi="Times New Roman" w:cs="Times New Roman"/>
        </w:rPr>
        <w:t xml:space="preserve"> </w:t>
      </w:r>
    </w:p>
    <w:p w14:paraId="6CF401CC" w14:textId="77777777" w:rsid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Colour heat maps of the histological indices HEcount, Ki67count, MVD and FD reveal highly heterogeneous, and markedly different patterns in the contiguous tumour sections (Figure 3k), which demonstrates a broad range of biological states in the treated tumours. </w:t>
      </w:r>
    </w:p>
    <w:p w14:paraId="67F5EF03" w14:textId="77777777" w:rsidR="005D7FC6" w:rsidRDefault="005D7FC6" w:rsidP="00AE0186">
      <w:pPr>
        <w:spacing w:line="240" w:lineRule="auto"/>
        <w:jc w:val="both"/>
        <w:rPr>
          <w:rFonts w:ascii="Times New Roman" w:hAnsi="Times New Roman" w:cs="Times New Roman"/>
        </w:rPr>
      </w:pPr>
      <w:r>
        <w:rPr>
          <w:rFonts w:ascii="Times New Roman" w:hAnsi="Times New Roman" w:cs="Times New Roman"/>
        </w:rPr>
        <w:t>Place holder Fig 3</w:t>
      </w:r>
    </w:p>
    <w:p w14:paraId="60DF2253" w14:textId="7F709159" w:rsidR="005D7FC6" w:rsidRDefault="005D7FC6" w:rsidP="00AE0186">
      <w:pPr>
        <w:spacing w:line="240" w:lineRule="auto"/>
        <w:jc w:val="both"/>
        <w:rPr>
          <w:rFonts w:ascii="Times New Roman" w:hAnsi="Times New Roman" w:cs="Times New Roman"/>
        </w:rPr>
      </w:pPr>
      <w:r w:rsidRPr="00AE0186">
        <w:rPr>
          <w:rFonts w:ascii="Times New Roman" w:hAnsi="Times New Roman" w:cs="Times New Roman"/>
        </w:rPr>
        <w:t>The distribution of histological ind</w:t>
      </w:r>
      <w:r w:rsidR="00855E43">
        <w:rPr>
          <w:rFonts w:ascii="Times New Roman" w:hAnsi="Times New Roman" w:cs="Times New Roman"/>
        </w:rPr>
        <w:t>ices</w:t>
      </w:r>
      <w:r w:rsidRPr="00AE0186">
        <w:rPr>
          <w:rFonts w:ascii="Times New Roman" w:hAnsi="Times New Roman" w:cs="Times New Roman"/>
        </w:rPr>
        <w:t xml:space="preserve"> is shown </w:t>
      </w:r>
      <w:r w:rsidR="00855E43">
        <w:rPr>
          <w:rFonts w:ascii="Times New Roman" w:hAnsi="Times New Roman" w:cs="Times New Roman"/>
        </w:rPr>
        <w:t xml:space="preserve">for </w:t>
      </w:r>
      <w:r w:rsidR="00855E43" w:rsidRPr="00AE0186">
        <w:rPr>
          <w:rFonts w:ascii="Times New Roman" w:hAnsi="Times New Roman" w:cs="Times New Roman"/>
        </w:rPr>
        <w:t xml:space="preserve">each tumour </w:t>
      </w:r>
      <w:r w:rsidRPr="00AE0186">
        <w:rPr>
          <w:rFonts w:ascii="Times New Roman" w:hAnsi="Times New Roman" w:cs="Times New Roman"/>
        </w:rPr>
        <w:t xml:space="preserve">in </w:t>
      </w:r>
      <w:r w:rsidR="008070BF">
        <w:rPr>
          <w:rFonts w:ascii="Times New Roman" w:hAnsi="Times New Roman" w:cs="Times New Roman"/>
        </w:rPr>
        <w:t>Figure 4</w:t>
      </w:r>
      <w:r w:rsidRPr="00AE0186">
        <w:rPr>
          <w:rFonts w:ascii="Times New Roman" w:hAnsi="Times New Roman" w:cs="Times New Roman"/>
        </w:rPr>
        <w:t>. With some exceptions, there seems to be less variation of indices between tumours than within tumours.</w:t>
      </w:r>
    </w:p>
    <w:p w14:paraId="6B34BAFE" w14:textId="77777777"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lastRenderedPageBreak/>
        <w:t xml:space="preserve">Place holder </w:t>
      </w:r>
      <w:r w:rsidR="008070BF">
        <w:rPr>
          <w:rFonts w:ascii="Times New Roman" w:hAnsi="Times New Roman" w:cs="Times New Roman"/>
        </w:rPr>
        <w:t>Fig 4</w:t>
      </w:r>
    </w:p>
    <w:p w14:paraId="60F6913E" w14:textId="1C851106" w:rsidR="00AE0186" w:rsidRPr="00AE0186" w:rsidRDefault="00CA2C07" w:rsidP="00AE0186">
      <w:pPr>
        <w:spacing w:after="0" w:line="240" w:lineRule="auto"/>
        <w:jc w:val="both"/>
        <w:rPr>
          <w:rFonts w:ascii="Times New Roman" w:hAnsi="Times New Roman" w:cs="Times New Roman"/>
          <w:b/>
          <w:szCs w:val="24"/>
        </w:rPr>
      </w:pPr>
      <w:r>
        <w:rPr>
          <w:rFonts w:ascii="Times New Roman" w:hAnsi="Times New Roman" w:cs="Times New Roman"/>
          <w:b/>
          <w:szCs w:val="24"/>
        </w:rPr>
        <w:t>Regression analysis</w:t>
      </w:r>
    </w:p>
    <w:p w14:paraId="6D005863" w14:textId="77777777" w:rsidR="002C13F0" w:rsidRDefault="002C13F0" w:rsidP="002C13F0">
      <w:pPr>
        <w:spacing w:line="240" w:lineRule="auto"/>
        <w:jc w:val="both"/>
        <w:rPr>
          <w:rFonts w:ascii="Times New Roman" w:hAnsi="Times New Roman" w:cs="Times New Roman"/>
        </w:rPr>
      </w:pPr>
    </w:p>
    <w:p w14:paraId="533843FE" w14:textId="51BD467E" w:rsidR="002C13F0" w:rsidRPr="00113A96" w:rsidRDefault="002C13F0" w:rsidP="00113A96">
      <w:pPr>
        <w:spacing w:line="240" w:lineRule="auto"/>
        <w:jc w:val="both"/>
        <w:rPr>
          <w:rFonts w:ascii="Times New Roman" w:hAnsi="Times New Roman" w:cs="Times New Roman"/>
          <w:lang w:val="en-US"/>
        </w:rPr>
      </w:pPr>
      <w:r w:rsidRPr="00AE0186">
        <w:rPr>
          <w:rFonts w:ascii="Times New Roman" w:hAnsi="Times New Roman" w:cs="Times New Roman"/>
        </w:rPr>
        <w:t xml:space="preserve">In total, n = 1821 samples </w:t>
      </w:r>
      <w:r>
        <w:rPr>
          <w:rFonts w:ascii="Times New Roman" w:hAnsi="Times New Roman" w:cs="Times New Roman"/>
        </w:rPr>
        <w:t>could be</w:t>
      </w:r>
      <w:r w:rsidRPr="00AE0186">
        <w:rPr>
          <w:rFonts w:ascii="Times New Roman" w:hAnsi="Times New Roman" w:cs="Times New Roman"/>
        </w:rPr>
        <w:t xml:space="preserve"> extracted from</w:t>
      </w:r>
      <w:r>
        <w:rPr>
          <w:rFonts w:ascii="Times New Roman" w:hAnsi="Times New Roman" w:cs="Times New Roman"/>
        </w:rPr>
        <w:t xml:space="preserve"> the five evaluated </w:t>
      </w:r>
      <w:r w:rsidRPr="00AE0186">
        <w:rPr>
          <w:rFonts w:ascii="Times New Roman" w:hAnsi="Times New Roman" w:cs="Times New Roman"/>
        </w:rPr>
        <w:t>tumours</w:t>
      </w:r>
      <w:r>
        <w:rPr>
          <w:rFonts w:ascii="Times New Roman" w:hAnsi="Times New Roman" w:cs="Times New Roman"/>
        </w:rPr>
        <w:t xml:space="preserve"> (n = 215,</w:t>
      </w:r>
      <w:r w:rsidRPr="00235085">
        <w:rPr>
          <w:rFonts w:ascii="Times New Roman" w:hAnsi="Times New Roman" w:cs="Times New Roman"/>
        </w:rPr>
        <w:t xml:space="preserve"> </w:t>
      </w:r>
      <w:r>
        <w:rPr>
          <w:rFonts w:ascii="Times New Roman" w:hAnsi="Times New Roman" w:cs="Times New Roman"/>
        </w:rPr>
        <w:t xml:space="preserve">998, 228, 252 and 128 samples from tumours 1-5, respectively). The </w:t>
      </w:r>
      <w:r w:rsidRPr="00AE0186">
        <w:rPr>
          <w:rFonts w:ascii="Times New Roman" w:hAnsi="Times New Roman" w:cs="Times New Roman"/>
        </w:rPr>
        <w:t>HEcount</w:t>
      </w:r>
      <w:r>
        <w:rPr>
          <w:rFonts w:ascii="Times New Roman" w:hAnsi="Times New Roman" w:cs="Times New Roman"/>
        </w:rPr>
        <w:t xml:space="preserve"> index </w:t>
      </w:r>
      <w:r w:rsidRPr="00AE0186">
        <w:rPr>
          <w:rFonts w:ascii="Times New Roman" w:hAnsi="Times New Roman" w:cs="Times New Roman"/>
        </w:rPr>
        <w:t>was excluded completely f</w:t>
      </w:r>
      <w:r>
        <w:rPr>
          <w:rFonts w:ascii="Times New Roman" w:hAnsi="Times New Roman" w:cs="Times New Roman"/>
        </w:rPr>
        <w:t>rom the</w:t>
      </w:r>
      <w:r w:rsidRPr="00AE0186">
        <w:rPr>
          <w:rFonts w:ascii="Times New Roman" w:hAnsi="Times New Roman" w:cs="Times New Roman"/>
        </w:rPr>
        <w:t xml:space="preserve"> </w:t>
      </w:r>
      <w:r>
        <w:rPr>
          <w:rFonts w:ascii="Times New Roman" w:hAnsi="Times New Roman" w:cs="Times New Roman"/>
        </w:rPr>
        <w:t xml:space="preserve">samples </w:t>
      </w:r>
      <w:r w:rsidR="004876C6">
        <w:rPr>
          <w:rFonts w:ascii="Times New Roman" w:hAnsi="Times New Roman" w:cs="Times New Roman"/>
        </w:rPr>
        <w:t xml:space="preserve">of </w:t>
      </w:r>
      <w:r w:rsidR="004876C6" w:rsidRPr="00AE0186">
        <w:rPr>
          <w:rFonts w:ascii="Times New Roman" w:hAnsi="Times New Roman" w:cs="Times New Roman"/>
        </w:rPr>
        <w:t xml:space="preserve">tumour </w:t>
      </w:r>
      <w:r w:rsidR="004876C6">
        <w:rPr>
          <w:rFonts w:ascii="Times New Roman" w:hAnsi="Times New Roman" w:cs="Times New Roman"/>
        </w:rPr>
        <w:t xml:space="preserve">2 </w:t>
      </w:r>
      <w:r w:rsidRPr="00AE0186">
        <w:rPr>
          <w:rFonts w:ascii="Times New Roman" w:hAnsi="Times New Roman" w:cs="Times New Roman"/>
        </w:rPr>
        <w:t xml:space="preserve">due to a digitalisation artefact visible on magnification, and the DCE-MRI and </w:t>
      </w:r>
      <w:r w:rsidRPr="00AE0186">
        <w:rPr>
          <w:rFonts w:ascii="Times New Roman" w:hAnsi="Times New Roman" w:cs="Times New Roman"/>
          <w:i/>
        </w:rPr>
        <w:t>T1</w:t>
      </w:r>
      <w:r w:rsidRPr="00AE0186">
        <w:rPr>
          <w:rFonts w:ascii="Times New Roman" w:hAnsi="Times New Roman" w:cs="Times New Roman"/>
        </w:rPr>
        <w:t xml:space="preserve"> paramet</w:t>
      </w:r>
      <w:r>
        <w:rPr>
          <w:rFonts w:ascii="Times New Roman" w:hAnsi="Times New Roman" w:cs="Times New Roman"/>
        </w:rPr>
        <w:t>ers</w:t>
      </w:r>
      <w:r w:rsidRPr="00AE0186">
        <w:rPr>
          <w:rFonts w:ascii="Times New Roman" w:hAnsi="Times New Roman" w:cs="Times New Roman"/>
        </w:rPr>
        <w:t xml:space="preserve"> were excluded f</w:t>
      </w:r>
      <w:r>
        <w:rPr>
          <w:rFonts w:ascii="Times New Roman" w:hAnsi="Times New Roman" w:cs="Times New Roman"/>
        </w:rPr>
        <w:t>rom the</w:t>
      </w:r>
      <w:r w:rsidRPr="00AE0186">
        <w:rPr>
          <w:rFonts w:ascii="Times New Roman" w:hAnsi="Times New Roman" w:cs="Times New Roman"/>
        </w:rPr>
        <w:t xml:space="preserve"> </w:t>
      </w:r>
      <w:r w:rsidR="004876C6">
        <w:rPr>
          <w:rFonts w:ascii="Times New Roman" w:hAnsi="Times New Roman" w:cs="Times New Roman"/>
        </w:rPr>
        <w:t>tumour 3 samples</w:t>
      </w:r>
      <w:r>
        <w:rPr>
          <w:rFonts w:ascii="Times New Roman" w:hAnsi="Times New Roman" w:cs="Times New Roman"/>
        </w:rPr>
        <w:t xml:space="preserve"> </w:t>
      </w:r>
      <w:r w:rsidRPr="00AE0186">
        <w:rPr>
          <w:rFonts w:ascii="Times New Roman" w:hAnsi="Times New Roman" w:cs="Times New Roman"/>
        </w:rPr>
        <w:t xml:space="preserve">since no adequate landmarks for registration could be observed. </w:t>
      </w:r>
      <w:r>
        <w:rPr>
          <w:rFonts w:ascii="Times New Roman" w:hAnsi="Times New Roman" w:cs="Times New Roman"/>
        </w:rPr>
        <w:t xml:space="preserve">Some MR parameters were excluded from </w:t>
      </w:r>
      <w:r w:rsidR="00CA2C07">
        <w:rPr>
          <w:rFonts w:ascii="Times New Roman" w:hAnsi="Times New Roman" w:cs="Times New Roman"/>
        </w:rPr>
        <w:t xml:space="preserve">analysis </w:t>
      </w:r>
      <w:r>
        <w:rPr>
          <w:rFonts w:ascii="Times New Roman" w:hAnsi="Times New Roman" w:cs="Times New Roman"/>
        </w:rPr>
        <w:t xml:space="preserve">since they were </w:t>
      </w:r>
      <w:r w:rsidR="00CA2C07">
        <w:rPr>
          <w:rFonts w:ascii="Times New Roman" w:hAnsi="Times New Roman" w:cs="Times New Roman"/>
        </w:rPr>
        <w:t>un</w:t>
      </w:r>
      <w:r>
        <w:rPr>
          <w:rFonts w:ascii="Times New Roman" w:hAnsi="Times New Roman" w:cs="Times New Roman"/>
        </w:rPr>
        <w:t xml:space="preserve">defined </w:t>
      </w:r>
      <w:r w:rsidR="00CA2C07">
        <w:rPr>
          <w:rFonts w:ascii="Times New Roman" w:hAnsi="Times New Roman" w:cs="Times New Roman"/>
        </w:rPr>
        <w:t>according to Table 2 (</w:t>
      </w:r>
      <w:r w:rsidR="004876C6" w:rsidRPr="00230E76">
        <w:rPr>
          <w:rFonts w:ascii="Times New Roman" w:hAnsi="Times New Roman" w:cs="Times New Roman"/>
          <w:i/>
        </w:rPr>
        <w:t>e.g.</w:t>
      </w:r>
      <w:r w:rsidR="004876C6" w:rsidRPr="00230E76">
        <w:rPr>
          <w:rFonts w:ascii="Times New Roman" w:hAnsi="Times New Roman" w:cs="Times New Roman"/>
        </w:rPr>
        <w:t>,</w:t>
      </w:r>
      <w:r w:rsidR="004876C6">
        <w:rPr>
          <w:rFonts w:ascii="Times New Roman" w:hAnsi="Times New Roman" w:cs="Times New Roman"/>
        </w:rPr>
        <w:t xml:space="preserve"> if </w:t>
      </w:r>
      <w:r w:rsidR="00113A96">
        <w:rPr>
          <w:rFonts w:ascii="Times New Roman" w:hAnsi="Times New Roman" w:cs="Times New Roman"/>
        </w:rPr>
        <w:t>significant contrast enhancement was not reached).</w:t>
      </w:r>
      <w:r>
        <w:rPr>
          <w:rFonts w:ascii="Times New Roman" w:hAnsi="Times New Roman" w:cs="Times New Roman"/>
        </w:rPr>
        <w:t xml:space="preserve"> </w:t>
      </w:r>
      <w:r w:rsidR="00113A96">
        <w:rPr>
          <w:rFonts w:ascii="Times New Roman" w:hAnsi="Times New Roman" w:cs="Times New Roman"/>
        </w:rPr>
        <w:t xml:space="preserve">A complete overview of the data finally included in the analyses is presented as </w:t>
      </w:r>
      <w:r w:rsidR="00113A96" w:rsidRPr="00230E76">
        <w:rPr>
          <w:rFonts w:ascii="Times New Roman" w:hAnsi="Times New Roman" w:cs="Times New Roman"/>
        </w:rPr>
        <w:t>supplemental material</w:t>
      </w:r>
      <w:r w:rsidR="00113A96">
        <w:rPr>
          <w:rFonts w:ascii="Times New Roman" w:hAnsi="Times New Roman" w:cs="Times New Roman"/>
        </w:rPr>
        <w:t>.</w:t>
      </w:r>
    </w:p>
    <w:p w14:paraId="6E2ED1CF" w14:textId="5D09E4F6" w:rsid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The predictive power of simple linear regression models of the pairwise combinations of MR parameters and histological indices that were significantly correlated on the total sample population level are shown in </w:t>
      </w:r>
      <w:r w:rsidR="008070BF">
        <w:rPr>
          <w:rFonts w:ascii="Times New Roman" w:hAnsi="Times New Roman" w:cs="Times New Roman"/>
        </w:rPr>
        <w:t>Figure 5</w:t>
      </w:r>
      <w:r w:rsidRPr="00AE0186">
        <w:rPr>
          <w:rFonts w:ascii="Times New Roman" w:hAnsi="Times New Roman" w:cs="Times New Roman"/>
        </w:rPr>
        <w:t xml:space="preserve">. For the set of evaluated MR-parameters, we found a relatively high predictive power for correlations with HEcount and Ki67count, and an intermediate level for MVD. FD seems to be the histological index that is most difficult to evaluate </w:t>
      </w:r>
      <w:r w:rsidRPr="00AE0186">
        <w:rPr>
          <w:rFonts w:ascii="Times New Roman" w:hAnsi="Times New Roman" w:cs="Times New Roman"/>
          <w:i/>
        </w:rPr>
        <w:t>in vivo</w:t>
      </w:r>
      <w:r w:rsidRPr="00AE0186">
        <w:rPr>
          <w:rFonts w:ascii="Times New Roman" w:hAnsi="Times New Roman" w:cs="Times New Roman"/>
        </w:rPr>
        <w:t xml:space="preserve"> using the MR parameters included in this study. </w:t>
      </w:r>
    </w:p>
    <w:p w14:paraId="1533EDAF" w14:textId="77777777"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t xml:space="preserve">Place holder </w:t>
      </w:r>
      <w:r w:rsidR="008070BF">
        <w:rPr>
          <w:rFonts w:ascii="Times New Roman" w:hAnsi="Times New Roman" w:cs="Times New Roman"/>
        </w:rPr>
        <w:t>Fig 5</w:t>
      </w:r>
    </w:p>
    <w:p w14:paraId="7B502F47" w14:textId="3BD60B5C" w:rsidR="00965343"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The results from the linear mixed-effects regression analysis of the total sample population are summarized in </w:t>
      </w:r>
      <w:r w:rsidR="008070BF">
        <w:rPr>
          <w:rFonts w:ascii="Times New Roman" w:hAnsi="Times New Roman" w:cs="Times New Roman"/>
        </w:rPr>
        <w:t>Figure 6</w:t>
      </w:r>
      <w:r w:rsidR="002B342C">
        <w:rPr>
          <w:rFonts w:ascii="Times New Roman" w:hAnsi="Times New Roman" w:cs="Times New Roman"/>
        </w:rPr>
        <w:t xml:space="preserve">, and the </w:t>
      </w:r>
      <w:r w:rsidR="0094032C">
        <w:rPr>
          <w:rFonts w:ascii="Times New Roman" w:hAnsi="Times New Roman" w:cs="Times New Roman"/>
        </w:rPr>
        <w:t>tumour origin and number of samples from each tumour are</w:t>
      </w:r>
      <w:r w:rsidR="002B342C">
        <w:rPr>
          <w:rFonts w:ascii="Times New Roman" w:hAnsi="Times New Roman" w:cs="Times New Roman"/>
        </w:rPr>
        <w:t xml:space="preserve"> shown </w:t>
      </w:r>
      <w:r w:rsidR="0094032C">
        <w:rPr>
          <w:rFonts w:ascii="Times New Roman" w:hAnsi="Times New Roman" w:cs="Times New Roman"/>
        </w:rPr>
        <w:t xml:space="preserve">for each correlation </w:t>
      </w:r>
      <w:r w:rsidR="002B342C">
        <w:rPr>
          <w:rFonts w:ascii="Times New Roman" w:hAnsi="Times New Roman" w:cs="Times New Roman"/>
        </w:rPr>
        <w:t>in the supplemental figure</w:t>
      </w:r>
      <w:r w:rsidRPr="00AE0186">
        <w:rPr>
          <w:rFonts w:ascii="Times New Roman" w:hAnsi="Times New Roman" w:cs="Times New Roman"/>
        </w:rPr>
        <w:t>. Several combinations of MR parameters and histological indices were correlated on a statistically significant level</w:t>
      </w:r>
      <w:r w:rsidR="003F4AF2">
        <w:rPr>
          <w:rFonts w:ascii="Times New Roman" w:hAnsi="Times New Roman" w:cs="Times New Roman"/>
        </w:rPr>
        <w:t>.</w:t>
      </w:r>
      <w:r w:rsidR="00965343">
        <w:rPr>
          <w:rFonts w:ascii="Times New Roman" w:hAnsi="Times New Roman" w:cs="Times New Roman"/>
        </w:rPr>
        <w:t xml:space="preserve"> Of these, the</w:t>
      </w:r>
      <w:r w:rsidRPr="00AE0186">
        <w:rPr>
          <w:rFonts w:ascii="Times New Roman" w:hAnsi="Times New Roman" w:cs="Times New Roman"/>
        </w:rPr>
        <w:t xml:space="preserve"> </w:t>
      </w:r>
      <w:r w:rsidR="003F4AF2">
        <w:rPr>
          <w:rFonts w:ascii="Times New Roman" w:hAnsi="Times New Roman" w:cs="Times New Roman"/>
        </w:rPr>
        <w:t xml:space="preserve">MR parameters that correlated with HEcount were: </w:t>
      </w:r>
      <w:r w:rsidR="00DC5577">
        <w:rPr>
          <w:rFonts w:ascii="Times New Roman" w:hAnsi="Times New Roman" w:cs="Times New Roman"/>
        </w:rPr>
        <w:t>ti</w:t>
      </w:r>
      <w:r w:rsidRPr="00AE0186">
        <w:rPr>
          <w:rFonts w:ascii="Times New Roman" w:hAnsi="Times New Roman" w:cs="Times New Roman"/>
        </w:rPr>
        <w:t>me of peak intensity (</w:t>
      </w:r>
      <w:r w:rsidRPr="00AE0186">
        <w:rPr>
          <w:rFonts w:ascii="Times New Roman" w:hAnsi="Times New Roman" w:cs="Times New Roman"/>
          <w:i/>
        </w:rPr>
        <w:t>TOP</w:t>
      </w:r>
      <w:r w:rsidR="002A6606" w:rsidRPr="00230E76">
        <w:rPr>
          <w:rFonts w:ascii="Times New Roman" w:hAnsi="Times New Roman" w:cs="Times New Roman"/>
        </w:rPr>
        <w:t xml:space="preserve">, </w:t>
      </w:r>
      <w:r w:rsidR="0094032C" w:rsidRPr="00230E76">
        <w:rPr>
          <w:rFonts w:ascii="Times New Roman" w:hAnsi="Times New Roman" w:cs="Times New Roman"/>
        </w:rPr>
        <w:t>n = 573</w:t>
      </w:r>
      <w:r w:rsidR="0094032C">
        <w:rPr>
          <w:rFonts w:ascii="Times New Roman" w:hAnsi="Times New Roman" w:cs="Times New Roman"/>
        </w:rPr>
        <w:t xml:space="preserve"> samples</w:t>
      </w:r>
      <w:r w:rsidR="0094032C" w:rsidRPr="00230E76">
        <w:rPr>
          <w:rFonts w:ascii="Times New Roman" w:hAnsi="Times New Roman" w:cs="Times New Roman"/>
        </w:rPr>
        <w:t>,</w:t>
      </w:r>
      <w:r w:rsidR="0094032C">
        <w:rPr>
          <w:rFonts w:ascii="Times New Roman" w:hAnsi="Times New Roman" w:cs="Times New Roman"/>
          <w:i/>
        </w:rPr>
        <w:t xml:space="preserve"> </w:t>
      </w:r>
      <w:r w:rsidR="00CA5DC8" w:rsidRPr="00230E76">
        <w:rPr>
          <w:rFonts w:ascii="Times New Roman" w:hAnsi="Times New Roman" w:cs="Times New Roman"/>
        </w:rPr>
        <w:t>regression coefficient (r</w:t>
      </w:r>
      <w:r w:rsidR="00CA5DC8" w:rsidRPr="006A551B">
        <w:rPr>
          <w:rFonts w:ascii="Times New Roman" w:hAnsi="Times New Roman" w:cs="Times New Roman"/>
        </w:rPr>
        <w:t>)</w:t>
      </w:r>
      <w:r w:rsidR="00CA5DC8" w:rsidRPr="00230E76">
        <w:rPr>
          <w:rFonts w:ascii="Times New Roman" w:hAnsi="Times New Roman" w:cs="Times New Roman"/>
        </w:rPr>
        <w:t xml:space="preserve"> = -0.16, </w:t>
      </w:r>
      <w:r w:rsidR="002A6606" w:rsidRPr="006A551B">
        <w:rPr>
          <w:rFonts w:ascii="Times New Roman" w:hAnsi="Times New Roman" w:cs="Times New Roman"/>
        </w:rPr>
        <w:t>p</w:t>
      </w:r>
      <w:r w:rsidR="00CA5DC8">
        <w:rPr>
          <w:rFonts w:ascii="Times New Roman" w:hAnsi="Times New Roman" w:cs="Times New Roman"/>
        </w:rPr>
        <w:t>-value (p)</w:t>
      </w:r>
      <w:r w:rsidR="002A6606" w:rsidRPr="006A551B">
        <w:rPr>
          <w:rFonts w:ascii="Times New Roman" w:hAnsi="Times New Roman" w:cs="Times New Roman"/>
        </w:rPr>
        <w:t xml:space="preserve"> = </w:t>
      </w:r>
      <w:r w:rsidR="00CA5DC8" w:rsidRPr="006A551B">
        <w:rPr>
          <w:rFonts w:ascii="Times New Roman" w:hAnsi="Times New Roman" w:cs="Times New Roman"/>
        </w:rPr>
        <w:t>1</w:t>
      </w:r>
      <w:r w:rsidR="000B4828">
        <w:rPr>
          <w:rFonts w:ascii="Times New Roman" w:hAnsi="Times New Roman" w:cs="Times New Roman"/>
        </w:rPr>
        <w:t>e</w:t>
      </w:r>
      <w:r w:rsidR="000B4828" w:rsidRPr="00230E76">
        <w:rPr>
          <w:rFonts w:ascii="Times New Roman" w:hAnsi="Times New Roman" w:cs="Times New Roman"/>
          <w:vertAlign w:val="superscript"/>
        </w:rPr>
        <w:t>-4</w:t>
      </w:r>
      <w:r w:rsidRPr="00AE0186">
        <w:rPr>
          <w:rFonts w:ascii="Times New Roman" w:hAnsi="Times New Roman" w:cs="Times New Roman"/>
        </w:rPr>
        <w:t>)</w:t>
      </w:r>
      <w:r w:rsidR="00453087">
        <w:rPr>
          <w:rFonts w:ascii="Times New Roman" w:hAnsi="Times New Roman" w:cs="Times New Roman"/>
        </w:rPr>
        <w:t>;</w:t>
      </w:r>
      <w:r w:rsidRPr="00AE0186">
        <w:rPr>
          <w:rFonts w:ascii="Times New Roman" w:hAnsi="Times New Roman" w:cs="Times New Roman"/>
        </w:rPr>
        <w:t xml:space="preserve"> time to peak (</w:t>
      </w:r>
      <w:r w:rsidRPr="00AE0186">
        <w:rPr>
          <w:rFonts w:ascii="Times New Roman" w:hAnsi="Times New Roman" w:cs="Times New Roman"/>
          <w:i/>
        </w:rPr>
        <w:t>TTP</w:t>
      </w:r>
      <w:r w:rsidR="0094032C">
        <w:rPr>
          <w:rFonts w:ascii="Times New Roman" w:hAnsi="Times New Roman" w:cs="Times New Roman"/>
        </w:rPr>
        <w:t xml:space="preserve">, n = 564, r = </w:t>
      </w:r>
      <w:r w:rsidR="00D136E4">
        <w:rPr>
          <w:rFonts w:ascii="Times New Roman" w:hAnsi="Times New Roman" w:cs="Times New Roman"/>
        </w:rPr>
        <w:t>-0.1</w:t>
      </w:r>
      <w:r w:rsidR="000B4828">
        <w:rPr>
          <w:rFonts w:ascii="Times New Roman" w:hAnsi="Times New Roman" w:cs="Times New Roman"/>
        </w:rPr>
        <w:t>9</w:t>
      </w:r>
      <w:r w:rsidR="0094032C">
        <w:rPr>
          <w:rFonts w:ascii="Times New Roman" w:hAnsi="Times New Roman" w:cs="Times New Roman"/>
        </w:rPr>
        <w:t xml:space="preserve">, p = </w:t>
      </w:r>
      <w:r w:rsidR="00D136E4">
        <w:rPr>
          <w:rFonts w:ascii="Times New Roman" w:hAnsi="Times New Roman" w:cs="Times New Roman"/>
        </w:rPr>
        <w:t>7e</w:t>
      </w:r>
      <w:r w:rsidR="00D136E4" w:rsidRPr="00230E76">
        <w:rPr>
          <w:rFonts w:ascii="Times New Roman" w:hAnsi="Times New Roman" w:cs="Times New Roman"/>
          <w:vertAlign w:val="superscript"/>
        </w:rPr>
        <w:t>-6</w:t>
      </w:r>
      <w:r w:rsidR="0094032C">
        <w:rPr>
          <w:rFonts w:ascii="Times New Roman" w:hAnsi="Times New Roman" w:cs="Times New Roman"/>
        </w:rPr>
        <w:t>)</w:t>
      </w:r>
      <w:r w:rsidR="0031799F">
        <w:rPr>
          <w:rFonts w:ascii="Times New Roman" w:hAnsi="Times New Roman" w:cs="Times New Roman"/>
        </w:rPr>
        <w:t xml:space="preserve">; </w:t>
      </w:r>
      <w:r w:rsidRPr="00AE0186">
        <w:rPr>
          <w:rFonts w:ascii="Times New Roman" w:hAnsi="Times New Roman" w:cs="Times New Roman"/>
        </w:rPr>
        <w:t>brevity of enhancement (</w:t>
      </w:r>
      <w:r w:rsidRPr="00AE0186">
        <w:rPr>
          <w:rFonts w:ascii="Times New Roman" w:hAnsi="Times New Roman" w:cs="Times New Roman"/>
          <w:i/>
        </w:rPr>
        <w:t>BE</w:t>
      </w:r>
      <w:r w:rsidR="0094032C">
        <w:rPr>
          <w:rFonts w:ascii="Times New Roman" w:hAnsi="Times New Roman" w:cs="Times New Roman"/>
        </w:rPr>
        <w:t>, n =</w:t>
      </w:r>
      <w:r w:rsidR="0031799F">
        <w:rPr>
          <w:rFonts w:ascii="Times New Roman" w:hAnsi="Times New Roman" w:cs="Times New Roman"/>
        </w:rPr>
        <w:t xml:space="preserve"> 563</w:t>
      </w:r>
      <w:r w:rsidR="0094032C">
        <w:rPr>
          <w:rFonts w:ascii="Times New Roman" w:hAnsi="Times New Roman" w:cs="Times New Roman"/>
        </w:rPr>
        <w:t xml:space="preserve">, r = </w:t>
      </w:r>
      <w:r w:rsidR="00D136E4">
        <w:rPr>
          <w:rFonts w:ascii="Times New Roman" w:hAnsi="Times New Roman" w:cs="Times New Roman"/>
        </w:rPr>
        <w:t>-0.16</w:t>
      </w:r>
      <w:r w:rsidR="0094032C">
        <w:rPr>
          <w:rFonts w:ascii="Times New Roman" w:hAnsi="Times New Roman" w:cs="Times New Roman"/>
        </w:rPr>
        <w:t xml:space="preserve">, p = </w:t>
      </w:r>
      <w:r w:rsidR="000B4828">
        <w:rPr>
          <w:rFonts w:ascii="Times New Roman" w:hAnsi="Times New Roman" w:cs="Times New Roman"/>
        </w:rPr>
        <w:t>1</w:t>
      </w:r>
      <w:r w:rsidR="00D136E4">
        <w:rPr>
          <w:rFonts w:ascii="Times New Roman" w:hAnsi="Times New Roman" w:cs="Times New Roman"/>
        </w:rPr>
        <w:t>e</w:t>
      </w:r>
      <w:r w:rsidR="00D136E4" w:rsidRPr="00230E76">
        <w:rPr>
          <w:rFonts w:ascii="Times New Roman" w:hAnsi="Times New Roman" w:cs="Times New Roman"/>
          <w:vertAlign w:val="superscript"/>
        </w:rPr>
        <w:t>-</w:t>
      </w:r>
      <w:r w:rsidR="000B4828" w:rsidRPr="006A551B">
        <w:rPr>
          <w:rFonts w:ascii="Times New Roman" w:hAnsi="Times New Roman" w:cs="Times New Roman"/>
          <w:vertAlign w:val="superscript"/>
        </w:rPr>
        <w:t>4</w:t>
      </w:r>
      <w:r w:rsidR="0094032C">
        <w:rPr>
          <w:rFonts w:ascii="Times New Roman" w:hAnsi="Times New Roman" w:cs="Times New Roman"/>
        </w:rPr>
        <w:t>)</w:t>
      </w:r>
      <w:r w:rsidR="0031799F">
        <w:rPr>
          <w:rFonts w:ascii="Times New Roman" w:hAnsi="Times New Roman" w:cs="Times New Roman"/>
        </w:rPr>
        <w:t xml:space="preserve">. MR parameters correlating with </w:t>
      </w:r>
      <w:r w:rsidR="0031799F" w:rsidRPr="00AE0186">
        <w:rPr>
          <w:rFonts w:ascii="Times New Roman" w:hAnsi="Times New Roman" w:cs="Times New Roman"/>
        </w:rPr>
        <w:t>Ki67count</w:t>
      </w:r>
      <w:r w:rsidR="0031799F">
        <w:rPr>
          <w:rFonts w:ascii="Times New Roman" w:hAnsi="Times New Roman" w:cs="Times New Roman"/>
        </w:rPr>
        <w:t xml:space="preserve"> were:</w:t>
      </w:r>
      <w:r w:rsidR="004876C6">
        <w:rPr>
          <w:rFonts w:ascii="Times New Roman" w:hAnsi="Times New Roman" w:cs="Times New Roman"/>
        </w:rPr>
        <w:t xml:space="preserve"> </w:t>
      </w:r>
      <w:r w:rsidRPr="00AE0186">
        <w:rPr>
          <w:rFonts w:ascii="Times New Roman" w:hAnsi="Times New Roman" w:cs="Times New Roman"/>
        </w:rPr>
        <w:t>initial slope (</w:t>
      </w:r>
      <w:r w:rsidRPr="00AE0186">
        <w:rPr>
          <w:rFonts w:ascii="Times New Roman" w:hAnsi="Times New Roman" w:cs="Times New Roman"/>
          <w:i/>
        </w:rPr>
        <w:t>IS</w:t>
      </w:r>
      <w:r w:rsidR="0094032C">
        <w:rPr>
          <w:rFonts w:ascii="Times New Roman" w:hAnsi="Times New Roman" w:cs="Times New Roman"/>
        </w:rPr>
        <w:t xml:space="preserve">, n = </w:t>
      </w:r>
      <w:r w:rsidR="00442907">
        <w:rPr>
          <w:rFonts w:ascii="Times New Roman" w:hAnsi="Times New Roman" w:cs="Times New Roman"/>
        </w:rPr>
        <w:t>1355</w:t>
      </w:r>
      <w:r w:rsidR="0094032C">
        <w:rPr>
          <w:rFonts w:ascii="Times New Roman" w:hAnsi="Times New Roman" w:cs="Times New Roman"/>
        </w:rPr>
        <w:t xml:space="preserve">, r = </w:t>
      </w:r>
      <w:r w:rsidR="00D136E4">
        <w:rPr>
          <w:rFonts w:ascii="Times New Roman" w:hAnsi="Times New Roman" w:cs="Times New Roman"/>
        </w:rPr>
        <w:t>0.25</w:t>
      </w:r>
      <w:r w:rsidR="0094032C">
        <w:rPr>
          <w:rFonts w:ascii="Times New Roman" w:hAnsi="Times New Roman" w:cs="Times New Roman"/>
        </w:rPr>
        <w:t xml:space="preserve">, p = </w:t>
      </w:r>
      <w:r w:rsidR="00D136E4">
        <w:rPr>
          <w:rFonts w:ascii="Times New Roman" w:hAnsi="Times New Roman" w:cs="Times New Roman"/>
        </w:rPr>
        <w:t>1e</w:t>
      </w:r>
      <w:r w:rsidR="00D136E4" w:rsidRPr="00230E76">
        <w:rPr>
          <w:rFonts w:ascii="Times New Roman" w:hAnsi="Times New Roman" w:cs="Times New Roman"/>
          <w:vertAlign w:val="superscript"/>
        </w:rPr>
        <w:t>-9</w:t>
      </w:r>
      <w:r w:rsidR="00442907">
        <w:rPr>
          <w:rFonts w:ascii="Times New Roman" w:hAnsi="Times New Roman" w:cs="Times New Roman"/>
        </w:rPr>
        <w:t>);</w:t>
      </w:r>
      <w:r w:rsidR="004876C6">
        <w:rPr>
          <w:rFonts w:ascii="Times New Roman" w:hAnsi="Times New Roman" w:cs="Times New Roman"/>
        </w:rPr>
        <w:t xml:space="preserve"> </w:t>
      </w:r>
      <w:r w:rsidR="00442907" w:rsidRPr="005500C0">
        <w:rPr>
          <w:rFonts w:ascii="Times New Roman" w:hAnsi="Times New Roman" w:cs="Times New Roman"/>
        </w:rPr>
        <w:t>T1 time</w:t>
      </w:r>
      <w:r w:rsidR="00442907">
        <w:rPr>
          <w:rFonts w:ascii="Times New Roman" w:hAnsi="Times New Roman" w:cs="Times New Roman"/>
          <w:i/>
        </w:rPr>
        <w:t xml:space="preserve"> </w:t>
      </w:r>
      <w:r w:rsidR="00442907" w:rsidRPr="005500C0">
        <w:rPr>
          <w:rFonts w:ascii="Times New Roman" w:hAnsi="Times New Roman" w:cs="Times New Roman"/>
        </w:rPr>
        <w:t>(</w:t>
      </w:r>
      <w:r w:rsidR="00442907" w:rsidRPr="00AE0186">
        <w:rPr>
          <w:rFonts w:ascii="Times New Roman" w:hAnsi="Times New Roman" w:cs="Times New Roman"/>
          <w:i/>
        </w:rPr>
        <w:t>T1</w:t>
      </w:r>
      <w:r w:rsidR="0094032C">
        <w:rPr>
          <w:rFonts w:ascii="Times New Roman" w:hAnsi="Times New Roman" w:cs="Times New Roman"/>
        </w:rPr>
        <w:t xml:space="preserve">, n = </w:t>
      </w:r>
      <w:r w:rsidR="00442907">
        <w:rPr>
          <w:rFonts w:ascii="Times New Roman" w:hAnsi="Times New Roman" w:cs="Times New Roman"/>
        </w:rPr>
        <w:t>1804</w:t>
      </w:r>
      <w:r w:rsidR="0094032C">
        <w:rPr>
          <w:rFonts w:ascii="Times New Roman" w:hAnsi="Times New Roman" w:cs="Times New Roman"/>
        </w:rPr>
        <w:t>, r =</w:t>
      </w:r>
      <w:r w:rsidR="00D136E4">
        <w:rPr>
          <w:rFonts w:ascii="Times New Roman" w:hAnsi="Times New Roman" w:cs="Times New Roman"/>
        </w:rPr>
        <w:t xml:space="preserve"> -0.0</w:t>
      </w:r>
      <w:r w:rsidR="000B4828">
        <w:rPr>
          <w:rFonts w:ascii="Times New Roman" w:hAnsi="Times New Roman" w:cs="Times New Roman"/>
        </w:rPr>
        <w:t>9</w:t>
      </w:r>
      <w:r w:rsidR="0094032C">
        <w:rPr>
          <w:rFonts w:ascii="Times New Roman" w:hAnsi="Times New Roman" w:cs="Times New Roman"/>
        </w:rPr>
        <w:t xml:space="preserve">, p = </w:t>
      </w:r>
      <w:r w:rsidR="00D136E4">
        <w:rPr>
          <w:rFonts w:ascii="Times New Roman" w:hAnsi="Times New Roman" w:cs="Times New Roman"/>
        </w:rPr>
        <w:t>4</w:t>
      </w:r>
      <w:r w:rsidR="000B4828">
        <w:rPr>
          <w:rFonts w:ascii="Times New Roman" w:hAnsi="Times New Roman" w:cs="Times New Roman"/>
        </w:rPr>
        <w:t>e</w:t>
      </w:r>
      <w:r w:rsidR="000B4828" w:rsidRPr="00230E76">
        <w:rPr>
          <w:rFonts w:ascii="Times New Roman" w:hAnsi="Times New Roman" w:cs="Times New Roman"/>
          <w:vertAlign w:val="superscript"/>
        </w:rPr>
        <w:t>-4</w:t>
      </w:r>
      <w:r w:rsidR="0094032C">
        <w:rPr>
          <w:rFonts w:ascii="Times New Roman" w:hAnsi="Times New Roman" w:cs="Times New Roman"/>
        </w:rPr>
        <w:t>)</w:t>
      </w:r>
      <w:r w:rsidR="004876C6">
        <w:rPr>
          <w:rFonts w:ascii="Times New Roman" w:hAnsi="Times New Roman" w:cs="Times New Roman"/>
        </w:rPr>
        <w:t>.</w:t>
      </w:r>
      <w:r w:rsidR="00230E76">
        <w:rPr>
          <w:rFonts w:ascii="Times New Roman" w:hAnsi="Times New Roman" w:cs="Times New Roman"/>
        </w:rPr>
        <w:t xml:space="preserve"> </w:t>
      </w:r>
      <w:r w:rsidR="00442907">
        <w:rPr>
          <w:rFonts w:ascii="Times New Roman" w:hAnsi="Times New Roman" w:cs="Times New Roman"/>
        </w:rPr>
        <w:t>MR parameters correlating with MVD were:</w:t>
      </w:r>
      <w:r w:rsidRPr="00AE0186">
        <w:rPr>
          <w:rFonts w:ascii="Times New Roman" w:hAnsi="Times New Roman" w:cs="Times New Roman"/>
          <w:i/>
        </w:rPr>
        <w:t xml:space="preserve"> </w:t>
      </w:r>
      <w:r w:rsidRPr="00AE0186">
        <w:rPr>
          <w:rFonts w:ascii="Times New Roman" w:hAnsi="Times New Roman" w:cs="Times New Roman"/>
        </w:rPr>
        <w:t>maximum signal enhancement (</w:t>
      </w:r>
      <w:r w:rsidRPr="00AE0186">
        <w:rPr>
          <w:rFonts w:ascii="Times New Roman" w:hAnsi="Times New Roman" w:cs="Times New Roman"/>
          <w:i/>
        </w:rPr>
        <w:t>SEmax</w:t>
      </w:r>
      <w:r w:rsidR="0094032C">
        <w:rPr>
          <w:rFonts w:ascii="Times New Roman" w:hAnsi="Times New Roman" w:cs="Times New Roman"/>
        </w:rPr>
        <w:t xml:space="preserve">, n = </w:t>
      </w:r>
      <w:r w:rsidR="00965343">
        <w:rPr>
          <w:rFonts w:ascii="Times New Roman" w:hAnsi="Times New Roman" w:cs="Times New Roman"/>
        </w:rPr>
        <w:t>1583</w:t>
      </w:r>
      <w:r w:rsidR="0094032C">
        <w:rPr>
          <w:rFonts w:ascii="Times New Roman" w:hAnsi="Times New Roman" w:cs="Times New Roman"/>
        </w:rPr>
        <w:t xml:space="preserve">, r = </w:t>
      </w:r>
      <w:r w:rsidR="00D136E4">
        <w:rPr>
          <w:rFonts w:ascii="Times New Roman" w:hAnsi="Times New Roman" w:cs="Times New Roman"/>
        </w:rPr>
        <w:br/>
      </w:r>
      <w:r w:rsidR="000B4828">
        <w:rPr>
          <w:rFonts w:ascii="Times New Roman" w:hAnsi="Times New Roman" w:cs="Times New Roman"/>
        </w:rPr>
        <w:t>-0.10</w:t>
      </w:r>
      <w:r w:rsidR="0094032C">
        <w:rPr>
          <w:rFonts w:ascii="Times New Roman" w:hAnsi="Times New Roman" w:cs="Times New Roman"/>
        </w:rPr>
        <w:t>, p =</w:t>
      </w:r>
      <w:r w:rsidR="00D136E4">
        <w:rPr>
          <w:rFonts w:ascii="Times New Roman" w:hAnsi="Times New Roman" w:cs="Times New Roman"/>
        </w:rPr>
        <w:t xml:space="preserve"> 1</w:t>
      </w:r>
      <w:r w:rsidR="000B4828">
        <w:rPr>
          <w:rFonts w:ascii="Times New Roman" w:hAnsi="Times New Roman" w:cs="Times New Roman"/>
        </w:rPr>
        <w:t>e</w:t>
      </w:r>
      <w:r w:rsidR="000B4828" w:rsidRPr="00230E76">
        <w:rPr>
          <w:rFonts w:ascii="Times New Roman" w:hAnsi="Times New Roman" w:cs="Times New Roman"/>
          <w:vertAlign w:val="superscript"/>
        </w:rPr>
        <w:t>-4</w:t>
      </w:r>
      <w:r w:rsidR="0094032C">
        <w:rPr>
          <w:rFonts w:ascii="Times New Roman" w:hAnsi="Times New Roman" w:cs="Times New Roman"/>
        </w:rPr>
        <w:t>)</w:t>
      </w:r>
      <w:r w:rsidR="00965343">
        <w:rPr>
          <w:rFonts w:ascii="Times New Roman" w:hAnsi="Times New Roman" w:cs="Times New Roman"/>
        </w:rPr>
        <w:t>;</w:t>
      </w:r>
      <w:r w:rsidR="004876C6">
        <w:rPr>
          <w:rFonts w:ascii="Times New Roman" w:hAnsi="Times New Roman" w:cs="Times New Roman"/>
        </w:rPr>
        <w:t xml:space="preserve"> </w:t>
      </w:r>
      <w:r w:rsidR="00442907" w:rsidRPr="00230E76">
        <w:rPr>
          <w:rFonts w:ascii="Times New Roman" w:hAnsi="Times New Roman" w:cs="Times New Roman"/>
        </w:rPr>
        <w:t>T1 time</w:t>
      </w:r>
      <w:r w:rsidR="00442907">
        <w:rPr>
          <w:rFonts w:ascii="Times New Roman" w:hAnsi="Times New Roman" w:cs="Times New Roman"/>
          <w:i/>
        </w:rPr>
        <w:t xml:space="preserve"> </w:t>
      </w:r>
      <w:r w:rsidR="00442907" w:rsidRPr="00230E76">
        <w:rPr>
          <w:rFonts w:ascii="Times New Roman" w:hAnsi="Times New Roman" w:cs="Times New Roman"/>
        </w:rPr>
        <w:t>(</w:t>
      </w:r>
      <w:r w:rsidRPr="00AE0186">
        <w:rPr>
          <w:rFonts w:ascii="Times New Roman" w:hAnsi="Times New Roman" w:cs="Times New Roman"/>
          <w:i/>
        </w:rPr>
        <w:t>T1</w:t>
      </w:r>
      <w:r w:rsidR="0094032C" w:rsidRPr="006A551B">
        <w:rPr>
          <w:rFonts w:ascii="Times New Roman" w:hAnsi="Times New Roman" w:cs="Times New Roman"/>
        </w:rPr>
        <w:t xml:space="preserve">, n = </w:t>
      </w:r>
      <w:r w:rsidR="00965343">
        <w:rPr>
          <w:rFonts w:ascii="Times New Roman" w:hAnsi="Times New Roman" w:cs="Times New Roman"/>
        </w:rPr>
        <w:t>1806</w:t>
      </w:r>
      <w:r w:rsidR="0094032C">
        <w:rPr>
          <w:rFonts w:ascii="Times New Roman" w:hAnsi="Times New Roman" w:cs="Times New Roman"/>
        </w:rPr>
        <w:t xml:space="preserve">, r = </w:t>
      </w:r>
      <w:r w:rsidR="00D136E4">
        <w:rPr>
          <w:rFonts w:ascii="Times New Roman" w:hAnsi="Times New Roman" w:cs="Times New Roman"/>
        </w:rPr>
        <w:t>-0.0</w:t>
      </w:r>
      <w:r w:rsidR="000B4828">
        <w:rPr>
          <w:rFonts w:ascii="Times New Roman" w:hAnsi="Times New Roman" w:cs="Times New Roman"/>
        </w:rPr>
        <w:t>9</w:t>
      </w:r>
      <w:r w:rsidR="0094032C">
        <w:rPr>
          <w:rFonts w:ascii="Times New Roman" w:hAnsi="Times New Roman" w:cs="Times New Roman"/>
        </w:rPr>
        <w:t xml:space="preserve">, p = </w:t>
      </w:r>
      <w:r w:rsidR="00D136E4">
        <w:rPr>
          <w:rFonts w:ascii="Times New Roman" w:hAnsi="Times New Roman" w:cs="Times New Roman"/>
        </w:rPr>
        <w:t>6</w:t>
      </w:r>
      <w:r w:rsidR="000B4828">
        <w:rPr>
          <w:rFonts w:ascii="Times New Roman" w:hAnsi="Times New Roman" w:cs="Times New Roman"/>
        </w:rPr>
        <w:t>e</w:t>
      </w:r>
      <w:r w:rsidR="000B4828" w:rsidRPr="00230E76">
        <w:rPr>
          <w:rFonts w:ascii="Times New Roman" w:hAnsi="Times New Roman" w:cs="Times New Roman"/>
          <w:vertAlign w:val="superscript"/>
        </w:rPr>
        <w:t>-4</w:t>
      </w:r>
      <w:r w:rsidR="0094032C">
        <w:rPr>
          <w:rFonts w:ascii="Times New Roman" w:hAnsi="Times New Roman" w:cs="Times New Roman"/>
        </w:rPr>
        <w:t>)</w:t>
      </w:r>
      <w:r w:rsidR="004876C6">
        <w:rPr>
          <w:rFonts w:ascii="Times New Roman" w:hAnsi="Times New Roman" w:cs="Times New Roman"/>
        </w:rPr>
        <w:t>.</w:t>
      </w:r>
      <w:r w:rsidR="00230E76">
        <w:rPr>
          <w:rFonts w:ascii="Times New Roman" w:hAnsi="Times New Roman" w:cs="Times New Roman"/>
        </w:rPr>
        <w:t xml:space="preserve"> </w:t>
      </w:r>
      <w:r w:rsidR="00442907">
        <w:rPr>
          <w:rFonts w:ascii="Times New Roman" w:hAnsi="Times New Roman" w:cs="Times New Roman"/>
        </w:rPr>
        <w:t xml:space="preserve">The MR parameter correlating with FD was the </w:t>
      </w:r>
      <w:r w:rsidRPr="00AE0186">
        <w:rPr>
          <w:rFonts w:ascii="Times New Roman" w:hAnsi="Times New Roman" w:cs="Times New Roman"/>
        </w:rPr>
        <w:t>perfusion fraction (</w:t>
      </w:r>
      <w:r w:rsidRPr="00AE0186">
        <w:rPr>
          <w:rFonts w:ascii="Times New Roman" w:hAnsi="Times New Roman" w:cs="Times New Roman"/>
          <w:i/>
        </w:rPr>
        <w:t>f</w:t>
      </w:r>
      <w:r w:rsidR="00F65117">
        <w:rPr>
          <w:rFonts w:ascii="Times New Roman" w:hAnsi="Times New Roman" w:cs="Times New Roman"/>
        </w:rPr>
        <w:t xml:space="preserve">, n = </w:t>
      </w:r>
      <w:r w:rsidR="00965343">
        <w:rPr>
          <w:rFonts w:ascii="Times New Roman" w:hAnsi="Times New Roman" w:cs="Times New Roman"/>
        </w:rPr>
        <w:t>1802</w:t>
      </w:r>
      <w:r w:rsidR="00F65117">
        <w:rPr>
          <w:rFonts w:ascii="Times New Roman" w:hAnsi="Times New Roman" w:cs="Times New Roman"/>
        </w:rPr>
        <w:t>, r =</w:t>
      </w:r>
      <w:r w:rsidR="00D136E4">
        <w:rPr>
          <w:rFonts w:ascii="Times New Roman" w:hAnsi="Times New Roman" w:cs="Times New Roman"/>
        </w:rPr>
        <w:t xml:space="preserve"> 0.0</w:t>
      </w:r>
      <w:r w:rsidR="000B4828">
        <w:rPr>
          <w:rFonts w:ascii="Times New Roman" w:hAnsi="Times New Roman" w:cs="Times New Roman"/>
        </w:rPr>
        <w:t>9</w:t>
      </w:r>
      <w:r w:rsidR="00F65117">
        <w:rPr>
          <w:rFonts w:ascii="Times New Roman" w:hAnsi="Times New Roman" w:cs="Times New Roman"/>
        </w:rPr>
        <w:t>, p =</w:t>
      </w:r>
      <w:r w:rsidR="00D136E4">
        <w:rPr>
          <w:rFonts w:ascii="Times New Roman" w:hAnsi="Times New Roman" w:cs="Times New Roman"/>
        </w:rPr>
        <w:t>3</w:t>
      </w:r>
      <w:r w:rsidR="000B4828">
        <w:rPr>
          <w:rFonts w:ascii="Times New Roman" w:hAnsi="Times New Roman" w:cs="Times New Roman"/>
        </w:rPr>
        <w:t>e</w:t>
      </w:r>
      <w:r w:rsidR="000B4828" w:rsidRPr="00230E76">
        <w:rPr>
          <w:rFonts w:ascii="Times New Roman" w:hAnsi="Times New Roman" w:cs="Times New Roman"/>
          <w:vertAlign w:val="superscript"/>
        </w:rPr>
        <w:t>-4</w:t>
      </w:r>
      <w:r w:rsidR="00F65117">
        <w:rPr>
          <w:rFonts w:ascii="Times New Roman" w:hAnsi="Times New Roman" w:cs="Times New Roman"/>
        </w:rPr>
        <w:t>)</w:t>
      </w:r>
      <w:r w:rsidR="00965343">
        <w:rPr>
          <w:rFonts w:ascii="Times New Roman" w:hAnsi="Times New Roman" w:cs="Times New Roman"/>
        </w:rPr>
        <w:t>.</w:t>
      </w:r>
      <w:r w:rsidR="00230E76">
        <w:rPr>
          <w:rFonts w:ascii="Times New Roman" w:hAnsi="Times New Roman" w:cs="Times New Roman"/>
        </w:rPr>
        <w:t xml:space="preserve"> </w:t>
      </w:r>
      <w:r w:rsidR="004876C6">
        <w:rPr>
          <w:rFonts w:ascii="Times New Roman" w:hAnsi="Times New Roman" w:cs="Times New Roman"/>
        </w:rPr>
        <w:t xml:space="preserve">The corresponding sample statistics for non-significant correlations can be found in the </w:t>
      </w:r>
      <w:r w:rsidR="004876C6" w:rsidRPr="009A56AD">
        <w:rPr>
          <w:rFonts w:ascii="Times New Roman" w:hAnsi="Times New Roman" w:cs="Times New Roman"/>
        </w:rPr>
        <w:t>supplemental material.</w:t>
      </w:r>
    </w:p>
    <w:p w14:paraId="1018DBA3" w14:textId="429222DC"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t xml:space="preserve">Place holder </w:t>
      </w:r>
      <w:r w:rsidR="008070BF">
        <w:rPr>
          <w:rFonts w:ascii="Times New Roman" w:hAnsi="Times New Roman" w:cs="Times New Roman"/>
        </w:rPr>
        <w:t>Fig 6</w:t>
      </w:r>
    </w:p>
    <w:p w14:paraId="46F357BD" w14:textId="77777777" w:rsidR="00965343" w:rsidRDefault="00965343" w:rsidP="00AE0186">
      <w:pPr>
        <w:spacing w:line="240" w:lineRule="auto"/>
        <w:jc w:val="both"/>
        <w:rPr>
          <w:rFonts w:ascii="Times New Roman" w:hAnsi="Times New Roman" w:cs="Times New Roman"/>
        </w:rPr>
      </w:pPr>
    </w:p>
    <w:p w14:paraId="24AEB2D7" w14:textId="0A67B0B9" w:rsid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No obvious clustering was found between the histological indices in the cluster analysis, except for a slightly earlier joining of MVD and FD at approximately 75 % of the height of the clade joining all indices (</w:t>
      </w:r>
      <w:r w:rsidR="008070BF">
        <w:rPr>
          <w:rFonts w:ascii="Times New Roman" w:hAnsi="Times New Roman" w:cs="Times New Roman"/>
        </w:rPr>
        <w:t>Figure 7</w:t>
      </w:r>
      <w:r w:rsidRPr="00AE0186">
        <w:rPr>
          <w:rFonts w:ascii="Times New Roman" w:hAnsi="Times New Roman" w:cs="Times New Roman"/>
        </w:rPr>
        <w:t>, upper dendrogram). The corresponding dendrogram for the MR parameters (</w:t>
      </w:r>
      <w:r w:rsidR="008070BF">
        <w:rPr>
          <w:rFonts w:ascii="Times New Roman" w:hAnsi="Times New Roman" w:cs="Times New Roman"/>
        </w:rPr>
        <w:t>Figure 7</w:t>
      </w:r>
      <w:r w:rsidRPr="00AE0186">
        <w:rPr>
          <w:rFonts w:ascii="Times New Roman" w:hAnsi="Times New Roman" w:cs="Times New Roman"/>
        </w:rPr>
        <w:t>, lower dendrogram) show that the contrast enhancement ratio (</w:t>
      </w:r>
      <w:r w:rsidRPr="00AE0186">
        <w:rPr>
          <w:rFonts w:ascii="Times New Roman" w:hAnsi="Times New Roman" w:cs="Times New Roman"/>
          <w:i/>
        </w:rPr>
        <w:t>CER</w:t>
      </w:r>
      <w:r w:rsidRPr="00AE0186">
        <w:rPr>
          <w:rFonts w:ascii="Times New Roman" w:hAnsi="Times New Roman" w:cs="Times New Roman"/>
        </w:rPr>
        <w:t xml:space="preserve">) and </w:t>
      </w:r>
      <w:r w:rsidRPr="00AE0186">
        <w:rPr>
          <w:rFonts w:ascii="Times New Roman" w:hAnsi="Times New Roman" w:cs="Times New Roman"/>
          <w:i/>
        </w:rPr>
        <w:t xml:space="preserve">SEmax, </w:t>
      </w:r>
      <w:r w:rsidRPr="00AE0186">
        <w:rPr>
          <w:rFonts w:ascii="Times New Roman" w:hAnsi="Times New Roman" w:cs="Times New Roman"/>
        </w:rPr>
        <w:t xml:space="preserve">as well as </w:t>
      </w:r>
      <w:r w:rsidRPr="00AE0186">
        <w:rPr>
          <w:rFonts w:ascii="Times New Roman" w:hAnsi="Times New Roman" w:cs="Times New Roman"/>
          <w:i/>
        </w:rPr>
        <w:t>D</w:t>
      </w:r>
      <w:r w:rsidRPr="00AE0186">
        <w:rPr>
          <w:rFonts w:ascii="Times New Roman" w:hAnsi="Times New Roman" w:cs="Times New Roman"/>
        </w:rPr>
        <w:t xml:space="preserve"> and </w:t>
      </w:r>
      <w:r w:rsidRPr="00AE0186">
        <w:rPr>
          <w:rFonts w:ascii="Times New Roman" w:hAnsi="Times New Roman" w:cs="Times New Roman"/>
          <w:i/>
        </w:rPr>
        <w:t>ADC</w:t>
      </w:r>
      <w:r w:rsidRPr="00AE0186">
        <w:rPr>
          <w:rFonts w:ascii="Times New Roman" w:hAnsi="Times New Roman" w:cs="Times New Roman"/>
        </w:rPr>
        <w:t xml:space="preserve">, contain highly similar information, as expected from similarities in the parameter definitions. Viewed from a perspective of differences (from above in </w:t>
      </w:r>
      <w:r w:rsidR="008070BF">
        <w:rPr>
          <w:rFonts w:ascii="Times New Roman" w:hAnsi="Times New Roman" w:cs="Times New Roman"/>
        </w:rPr>
        <w:t>Figure 7</w:t>
      </w:r>
      <w:r w:rsidRPr="00AE0186">
        <w:rPr>
          <w:rFonts w:ascii="Times New Roman" w:hAnsi="Times New Roman" w:cs="Times New Roman"/>
        </w:rPr>
        <w:t>), seven overall groups of parameters may be identified: four groups containing single parameter (wash out (</w:t>
      </w:r>
      <w:r w:rsidRPr="00AE0186">
        <w:rPr>
          <w:rFonts w:ascii="Times New Roman" w:hAnsi="Times New Roman" w:cs="Times New Roman"/>
          <w:i/>
        </w:rPr>
        <w:t>WO</w:t>
      </w:r>
      <w:r w:rsidRPr="00AE0186">
        <w:rPr>
          <w:rFonts w:ascii="Times New Roman" w:hAnsi="Times New Roman" w:cs="Times New Roman"/>
        </w:rPr>
        <w:t>), negative slope (</w:t>
      </w:r>
      <w:r w:rsidRPr="00AE0186">
        <w:rPr>
          <w:rFonts w:ascii="Times New Roman" w:hAnsi="Times New Roman" w:cs="Times New Roman"/>
          <w:i/>
        </w:rPr>
        <w:t>NS</w:t>
      </w:r>
      <w:r w:rsidRPr="00AE0186">
        <w:rPr>
          <w:rFonts w:ascii="Times New Roman" w:hAnsi="Times New Roman" w:cs="Times New Roman"/>
        </w:rPr>
        <w:t xml:space="preserve">), </w:t>
      </w:r>
      <w:r w:rsidRPr="00AE0186">
        <w:rPr>
          <w:rFonts w:ascii="Times New Roman" w:hAnsi="Times New Roman" w:cs="Times New Roman"/>
          <w:i/>
        </w:rPr>
        <w:t>T1</w:t>
      </w:r>
      <w:r w:rsidRPr="00AE0186">
        <w:rPr>
          <w:rFonts w:ascii="Times New Roman" w:hAnsi="Times New Roman" w:cs="Times New Roman"/>
        </w:rPr>
        <w:t xml:space="preserve"> and </w:t>
      </w:r>
      <w:r w:rsidRPr="00AE0186">
        <w:rPr>
          <w:rFonts w:ascii="Times New Roman" w:hAnsi="Times New Roman" w:cs="Times New Roman"/>
          <w:i/>
        </w:rPr>
        <w:t>T2*</w:t>
      </w:r>
      <w:r w:rsidRPr="00AE0186">
        <w:rPr>
          <w:rFonts w:ascii="Times New Roman" w:hAnsi="Times New Roman" w:cs="Times New Roman"/>
        </w:rPr>
        <w:t>), one group with the IVIM perfusion parameters (</w:t>
      </w:r>
      <w:r w:rsidRPr="00AE0186">
        <w:rPr>
          <w:rFonts w:ascii="Times New Roman" w:hAnsi="Times New Roman" w:cs="Times New Roman"/>
          <w:i/>
        </w:rPr>
        <w:t>f</w:t>
      </w:r>
      <w:r w:rsidRPr="00AE0186">
        <w:rPr>
          <w:rFonts w:ascii="Times New Roman" w:hAnsi="Times New Roman" w:cs="Times New Roman"/>
        </w:rPr>
        <w:t xml:space="preserve">, </w:t>
      </w:r>
      <w:r w:rsidRPr="00AE0186">
        <w:rPr>
          <w:rFonts w:ascii="Times New Roman" w:hAnsi="Times New Roman" w:cs="Times New Roman"/>
          <w:i/>
        </w:rPr>
        <w:t>D</w:t>
      </w:r>
      <w:r w:rsidRPr="00AE0186">
        <w:rPr>
          <w:rFonts w:ascii="Times New Roman" w:hAnsi="Times New Roman" w:cs="Times New Roman"/>
        </w:rPr>
        <w:t xml:space="preserve">* and </w:t>
      </w:r>
      <w:r w:rsidRPr="00AE0186">
        <w:rPr>
          <w:rFonts w:ascii="Times New Roman" w:hAnsi="Times New Roman" w:cs="Times New Roman"/>
          <w:i/>
        </w:rPr>
        <w:t>f</w:t>
      </w:r>
      <w:r w:rsidRPr="00AE0186">
        <w:rPr>
          <w:rFonts w:ascii="Times New Roman" w:eastAsia="MS Gothic" w:hAnsi="Times New Roman" w:cs="Times New Roman"/>
          <w:color w:val="000000"/>
        </w:rPr>
        <w:t>×</w:t>
      </w:r>
      <w:r w:rsidRPr="00AE0186">
        <w:rPr>
          <w:rFonts w:ascii="Times New Roman" w:hAnsi="Times New Roman" w:cs="Times New Roman"/>
          <w:i/>
        </w:rPr>
        <w:t>D*</w:t>
      </w:r>
      <w:r w:rsidRPr="00AE0186">
        <w:rPr>
          <w:rFonts w:ascii="Times New Roman" w:hAnsi="Times New Roman" w:cs="Times New Roman"/>
        </w:rPr>
        <w:t>), one group with the diffusion parameters (</w:t>
      </w:r>
      <w:r w:rsidRPr="00AE0186">
        <w:rPr>
          <w:rFonts w:ascii="Times New Roman" w:hAnsi="Times New Roman" w:cs="Times New Roman"/>
          <w:i/>
        </w:rPr>
        <w:t>D</w:t>
      </w:r>
      <w:r w:rsidRPr="00AE0186">
        <w:rPr>
          <w:rFonts w:ascii="Times New Roman" w:hAnsi="Times New Roman" w:cs="Times New Roman"/>
        </w:rPr>
        <w:t xml:space="preserve"> and </w:t>
      </w:r>
      <w:r w:rsidRPr="00AE0186">
        <w:rPr>
          <w:rFonts w:ascii="Times New Roman" w:hAnsi="Times New Roman" w:cs="Times New Roman"/>
          <w:i/>
        </w:rPr>
        <w:t>ADC</w:t>
      </w:r>
      <w:r w:rsidRPr="00AE0186">
        <w:rPr>
          <w:rFonts w:ascii="Times New Roman" w:hAnsi="Times New Roman" w:cs="Times New Roman"/>
        </w:rPr>
        <w:t>) and one group with the remaining DCE-MRI parameters.</w:t>
      </w:r>
    </w:p>
    <w:p w14:paraId="5D0FA58A" w14:textId="77777777" w:rsidR="005D7FC6" w:rsidRPr="00AE0186" w:rsidRDefault="005D7FC6" w:rsidP="00AE0186">
      <w:pPr>
        <w:spacing w:line="240" w:lineRule="auto"/>
        <w:jc w:val="both"/>
        <w:rPr>
          <w:rFonts w:ascii="Times New Roman" w:hAnsi="Times New Roman" w:cs="Times New Roman"/>
        </w:rPr>
      </w:pPr>
      <w:r>
        <w:rPr>
          <w:rFonts w:ascii="Times New Roman" w:hAnsi="Times New Roman" w:cs="Times New Roman"/>
        </w:rPr>
        <w:t xml:space="preserve">Place holder </w:t>
      </w:r>
      <w:r w:rsidR="008070BF">
        <w:rPr>
          <w:rFonts w:ascii="Times New Roman" w:hAnsi="Times New Roman" w:cs="Times New Roman"/>
        </w:rPr>
        <w:t>Fig 7</w:t>
      </w:r>
    </w:p>
    <w:p w14:paraId="3C4E8B41"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Discussion</w:t>
      </w:r>
    </w:p>
    <w:p w14:paraId="2C411A93" w14:textId="3F87463A"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In this work, we evaluate the potential of multiparametric MRI to non-invasively characterize tumour tissue previously subjected to </w:t>
      </w:r>
      <w:r w:rsidRPr="00AE0186">
        <w:rPr>
          <w:rFonts w:ascii="Times New Roman" w:hAnsi="Times New Roman" w:cs="Times New Roman"/>
          <w:vertAlign w:val="superscript"/>
        </w:rPr>
        <w:t>177</w:t>
      </w:r>
      <w:r w:rsidRPr="00AE0186">
        <w:rPr>
          <w:rFonts w:ascii="Times New Roman" w:hAnsi="Times New Roman" w:cs="Times New Roman"/>
        </w:rPr>
        <w:t>Lu-octreotate therapy. Previous studies that have evaluate MR-derived tissue parameters with histology have focussed on one or a few MR parameters, and compared global, averaged tumour MR- or histological parameters to address the image registration problem that arise due to deformation of tissue on histological preparation</w:t>
      </w:r>
      <w:r w:rsidR="001B2E37">
        <w:rPr>
          <w:rFonts w:ascii="Times New Roman" w:hAnsi="Times New Roman" w:cs="Times New Roman"/>
        </w:rPr>
        <w:t xml:space="preserve"> </w:t>
      </w:r>
      <w:r w:rsidR="001B2E37">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{"citationItems":[{"id":"ITEM-1","itemData":{"DOI":"10.1002/jmri.24079","ISBN":"1053-1807","ISSN":"10531807","PMID":"23908122","abstract":"PURPOSE: To investigate the effect of bevacizumab treatment on vascular architecture and function in two xenograft models with different angiogenic properties using diffusion-weighted magnetic resonance imaging (DW-MRI) and dynamic contrast-enhanced MRI (DCE-MRI). MATERIALS AND METHODS: Mice carrying basal-like (MAS98.12) or luminal-like (MAS98.06) orthotopic breast cancer xenografts were treated with bevacizumab (5 mg/kg), doxorubicin (8 mg/kg), or both drugs in combination. DW-MRI and DCE-MRI were performed before and 3 days after treatment using a Bruker 7T preclinical scanner. Mean microvessel density (MVD) and proliferating microvessel density (pMVD) in the tumors were determined for evaluation of vascular response to bevacizumab treatment. RESULTS: No changes in DCE-MRI or DW-MRI parameters were observed in untreated controls during the experiment period. DW-MRI showed increased apparent diffusion coefficient (ADC) values in all treatment groups in both basal-like and luminal-like xenografts. DCE-MRI showed increased contrast agent uptake, particularly in central regions of the tumors, after bevacizumab/combination treatment in both xenograft models. This was accompanied by decreased MVD and pMVD in basal-like xenografts. Doxorubicin treatment had no effect on DCE-MRI parameters in any of the xenograft models. CONCLUSION: Both DW-MRI and DCE-MRI demonstrated an early response to bevacizumab treatment in the xenograft tumors. Increased contrast agent uptake and reduced MVD/pMVD is consistent with a normalization of vascular function.","author":[{"dropping-particle":"","family":"Moestue","given":"Siver A.","non-dropping-particle":"","parse-names":false,"suffix":""},{"dropping-particle":"","family":"Huuse","given":"Else M.","non-dropping-particle":"","parse-names":false,"suffix":""},{"dropping-particle":"","family":"Lindholm","given":"Evita M.","non-dropping-particle":"","parse-names":false,"suffix":""},{"dropping-particle":"","family":"Bofin","given":"Anna","non-dropping-particle":"","parse-names":false,"suffix":""},{"dropping-particle":"","family":"Engebraaten","given":"Olav","non-dropping-particle":"","parse-names":false,"suffix":""},{"dropping-particle":"","family":"Mælandsmo","given":"Gunhild M.","non-dropping-particle":"","parse-names":false,"suffix":""},{"dropping-particle":"","family":"Akslen","given":"Lars A.","non-dropping-particle":"","parse-names":false,"suffix":""},{"dropping-particle":"","family":"Gribbestad","given":"Ingrid S.","non-dropping-particle":"","parse-names":false,"suffix":""}],"container-title":"Journal of Magnetic Resonance Imaging","id":"ITEM-1","issue":"5","issued":{"date-parts":[["2013"]]},"page":"1043-1053","title":"Low-molecular contrast agent dynamic contrast-enhanced (DCE)-MRI and diffusion-weighted (DW)-MRI in early assessment of bevacizumab treatment in breast cancer xenografts","type":"article-journal","volume":"38"},"uris":["http://www.mendeley.com/documents/?uuid=0ffc7b09-1e35-487c-aad3-3cb8beb6d5ad"]},{"id":"ITEM-2","itemData":{"DOI":"10.1186/1471-2407-14-92","ISBN":"1471-2407 (Electronic)\\r1471-2407 (Linking)","ISSN":"1471-2407","PMID":"24528854","abstract":"BACKGROUND: Cancer patients with primary tumors showing extensive hypoxia and highly elevated interstitial fluid pressure (IFP) have poor prognosis. The potential of diffusion-weighted magnetic resonance imaging (DW-MRI) in assessing the hypoxic fraction, IFP, and metastatic propensity of tumors was investigated in this study.\\n\\nMETHODS: A-07 and R-18 melanoma xenografts were used as general models of human cancer. DW-MRI was performed at 1.5 T, and maps of the apparent diffusion coefficient (ADC) were produced with in-house-made software developed in Matlab. Pimonidazole was used as a hypoxia marker. Tumor cell density and hypoxic fraction were assessed by quantitative analysis of histological sections. IFP was measured with a Millar catheter. Metastatic propensity was determined by examining tumor-bearing mice for pulmonary micrometastases post mortem.\\n\\nRESULTS: ADC decreased with increasing tumor cell density, independent of whether the A-07 and R-18 data were analyzed separately or together. In the A-07 line, ADC decreased with increasing hypoxic fraction and increasing IFP and was lower in metastatic than in nonmetastatic tumors, and in the R-18 line, ADC decreased with increasing hypoxic fraction. There was a strong inverse correlation between ADC and hypoxic fraction as well as between ADC and IFP across the two tumor lines, primarily because low ADC as well as high hypoxic fraction and high IFP were associated with high cell density.\\n\\nCONCLUSION: Low ADC is a potentially useful biomarker of poor prognosis in cancer, since low ADC is mainly a consequence of high cell density, and high cell density may lead to increased hypoxia and interstitial hypertension and, therefore, increased microenvironment-associated metastasis.","author":[{"dropping-particle":"","family":"Hompland","given":"Tord","non-dropping-particle":"","parse-names":false,"suffix":""},{"dropping-particle":"","family":"Ellingsen","given":"Christine","non-dropping-particle":"","parse-names":false,"suffix":""},{"dropping-particle":"","family":"Galappathi","given":"Kanthi","non-dropping-particle":"","parse-names":false,"suffix":""},{"dropping-particle":"","family":"Rofstad","given":"Einar K","non-dropping-particle":"","parse-names":false,"suffix":""}],"container-title":"BMC Cancer","id":"ITEM-2","issue":"1","issued":{"date-parts":[["2014"]]},"page":"92","title":"DW-MRI in assessment of the hypoxic fraction, interstitial fluid pressure, and metastatic propensity of melanoma xenografts","type":"article-journal","volume":"14"},"uris":["http://www.mendeley.com/documents/?uuid=10dbcdee-f9f2-4e6d-863b-069d5593914e"]},{"id":"ITEM-3","itemData":{"DOI":"10.1186/s12967-016-0920-y","ISSN":"1479-5876","PMID":"27268062","abstract":"PURPOSE The aggressiveness of pancreatic ductal adenocarcinoma (PDAC) is highly dependent on the level of differentiation and the composition of the stroma. In this preclinical study, we investigated the potential of diffusion-weighted magnetic resonance imaging (DW-MRI) and dynamic contrast-enhanced magnetic resonance imaging (DCE-MRI) as noninvasive methods for providing information on the differentiation and the stroma of PDACs. METHODS Xenografted tumors initiated from four PDAC cell lines (BxPC-3, Capan-2, MIAPaCa-2, and Panc-1) were included in the study. DW-MRI and DCE-MRI were carried out on a 7.05-T MR scanner, and tumor images of ADC (the apparent diffusion coefficient), K (trans) (the volume transfer constant of Gd-DOTA), and v e (the fractional distribution volume of Gd-DOTA) were produced. The level of differentiation and the amount and structure of collagen I and collagen IV were determined by examining histological preparations. RESULTS Differentiated tumors showed lower levels of collagen I and collagen IV than non-differentiated tumors. Significant correlations were found between ADC and v e, and both parameters differentiated clearly between collagen-rich non-differentiated tumors and differentiated tumors containing less collagen. CONCLUSION Differentiated PDAC xenografts show higher ADC values and higher v e values than their non-differentiated counterparts. This observation supports the application of parametric MR images as tumor biomarkers in PDAC. Patients showing low values of ADC and v e most likely have non-differentiated tumors with extensive stroma and, hence, poor prognosis.","author":[{"dropping-particle":"","family":"Wegner","given":"Catherine S","non-dropping-particle":"","parse-names":false,"suffix":""},{"dropping-particle":"","family":"Gaustad","given":"Jon-Vidar","non-dropping-particle":"","parse-names":false,"suffix":""},{"dropping-particle":"","family":"Andersen","given":"Lise Mari K","non-dropping-particle":"","parse-names":false,"suffix":""},{"dropping-particle":"","family":"Simonsen","given":"Trude G","non-dropping-particle":"","parse-names":false,"suffix":""},{"dropping-particle":"","family":"Rofstad","given":"Einar K","non-dropping-particle":"","parse-names":false,"suffix":""}],"container-title":"Journal of translational medicine","id":"ITEM-3","issue":"1","issued":{"date-parts":[["2016"]]},"page":"161","publisher":"BioMed Central","title":"Diffusion-weighted and dynamic contrast-enhanced MRI of pancreatic adenocarcinoma xenografts: associations with tumor differentiation and collagen content.","type":"article-journal","volume":"14"},"uris":["http://www.mendeley.com/documents/?uuid=132f3c8e-224d-37c9-b082-8a849c08b03b"]}],"mendeley":{"formattedCitation":"&lt;sup&gt;9,10,12&lt;/sup&gt;","plainTextFormattedCitation":"9,10,12","previouslyFormattedCitation":"&lt;sup&gt;9,10,12&lt;/sup&gt;"},"properties":{"noteIndex":0},"schema":"https://github.com/citation-style-language/schema/raw/master/csl-citation.json"}</w:instrText>
      </w:r>
      <w:r w:rsidR="001B2E37">
        <w:rPr>
          <w:rFonts w:ascii="Times New Roman" w:hAnsi="Times New Roman" w:cs="Times New Roman"/>
        </w:rPr>
        <w:fldChar w:fldCharType="separate"/>
      </w:r>
      <w:r w:rsidR="00A17C25" w:rsidRPr="00A17C25">
        <w:rPr>
          <w:rFonts w:ascii="Times New Roman" w:hAnsi="Times New Roman" w:cs="Times New Roman"/>
          <w:noProof/>
          <w:vertAlign w:val="superscript"/>
        </w:rPr>
        <w:t>9,10,12</w:t>
      </w:r>
      <w:r w:rsidR="001B2E37">
        <w:rPr>
          <w:rFonts w:ascii="Times New Roman" w:hAnsi="Times New Roman" w:cs="Times New Roman"/>
        </w:rPr>
        <w:fldChar w:fldCharType="end"/>
      </w:r>
      <w:r w:rsidRPr="00AE0186">
        <w:rPr>
          <w:rFonts w:ascii="Times New Roman" w:hAnsi="Times New Roman" w:cs="Times New Roman"/>
        </w:rPr>
        <w:t xml:space="preserve">. We </w:t>
      </w:r>
      <w:r w:rsidR="00AF05AE">
        <w:rPr>
          <w:rFonts w:ascii="Times New Roman" w:hAnsi="Times New Roman" w:cs="Times New Roman"/>
        </w:rPr>
        <w:t xml:space="preserve">use </w:t>
      </w:r>
      <w:r w:rsidRPr="00AE0186">
        <w:rPr>
          <w:rFonts w:ascii="Times New Roman" w:hAnsi="Times New Roman" w:cs="Times New Roman"/>
        </w:rPr>
        <w:t xml:space="preserve">a semi-automatic method to objectively calculate histological indices on a large amount of tissue samples, and use a </w:t>
      </w:r>
      <w:r w:rsidRPr="00AE0186">
        <w:rPr>
          <w:rFonts w:ascii="Times New Roman" w:hAnsi="Times New Roman" w:cs="Times New Roman"/>
        </w:rPr>
        <w:lastRenderedPageBreak/>
        <w:t xml:space="preserve">straightforward method based on registration of tumour sub-regions to accomplish localized correlation analysis. </w:t>
      </w:r>
    </w:p>
    <w:p w14:paraId="58A54AB3" w14:textId="439DE55A"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The literature does not provide a standardized method for spatial registration of histological tissue sections to </w:t>
      </w:r>
      <w:r w:rsidRPr="00AE0186">
        <w:rPr>
          <w:rFonts w:ascii="Times New Roman" w:hAnsi="Times New Roman" w:cs="Times New Roman"/>
          <w:i/>
        </w:rPr>
        <w:t>in vivo</w:t>
      </w:r>
      <w:r w:rsidRPr="00AE0186">
        <w:rPr>
          <w:rFonts w:ascii="Times New Roman" w:hAnsi="Times New Roman" w:cs="Times New Roman"/>
        </w:rPr>
        <w:t xml:space="preserve"> image data, but some methods have been proposed</w:t>
      </w:r>
      <w:r w:rsidR="001B2E37">
        <w:rPr>
          <w:rFonts w:ascii="Times New Roman" w:hAnsi="Times New Roman" w:cs="Times New Roman"/>
        </w:rPr>
        <w:t xml:space="preserve"> </w:t>
      </w:r>
      <w:r w:rsidR="001B2E37">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{"citationItems":[{"id":"ITEM-1","itemData":{"DOI":"10.1371/journal.pone.0022835","ISBN":"1932-6203 (Electronic)\\r1932-6203 (Linking)","ISSN":"19326203","PMID":"21897840","abstract":"Magnetic resonance imaging (MRI), together with histology, is widely used to diagnose and to monitor treatment in oncology. Spatial correspondence between these modalities provides information about the ability of MRI to characterize cancerous tissue. However, registration is complicated by deformations during pathological processing, and differences in scale and information content.","author":[{"dropping-particle":"","family":"Alic","given":"Lejla","non-dropping-particle":"","parse-names":false,"suffix":""},{"dropping-particle":"","family":"Haeck","given":"Joost C.","non-dropping-particle":"","parse-names":false,"suffix":""},{"dropping-particle":"","family":"Bol","given":"Karin","non-dropping-particle":"","parse-names":false,"suffix":""},{"dropping-particle":"","family":"Klein","given":"Stefan","non-dropping-particle":"","parse-names":false,"suffix":""},{"dropping-particle":"","family":"Tiel","given":"Sandra T.","non-dropping-particle":"van","parse-names":false,"suffix":""},{"dropping-particle":"","family":"Wielepolski","given":"Piotr A.","non-dropping-particle":"","parse-names":false,"suffix":""},{"dropping-particle":"","family":"Jong","given":"Marion","non-dropping-particle":"de","parse-names":false,"suffix":""},{"dropping-particle":"","family":"Niessen","given":"Wiro J.","non-dropping-particle":"","parse-names":false,"suffix":""},{"dropping-particle":"","family":"Bernsen","given":"Monique","non-dropping-particle":"","parse-names":false,"suffix":""},{"dropping-particle":"","family":"Veenland","given":"Jifke F.","non-dropping-particle":"","parse-names":false,"suffix":""}],"container-title":"PLoS ONE","id":"ITEM-1","issue":"8","issued":{"date-parts":[["2011"]]},"page":"1-10","title":"Facilitating tumor functional assessment by spatially relating 3D tumor histology and In Vivo MRI: Image registration approach","type":"article-journal","volume":"6"},"uris":["http://www.mendeley.com/documents/?uuid=b50f9b28-a9d7-4e6b-a6d6-a0aeda099895"]},{"id":"ITEM-2","itemData":{"DOI":"10.4103/2153-3539.92036","ISBN":"2153-3539 (Electronic)","ISSN":"2153-3539","PMID":"22811965","abstract":"Histological investigation of a lesion induced by radiofrequency ablation (RFA) treatment provides ground-truth about the true lesion size, thus verifying the success or failure of the RFA treatment. This work presents a framework for registration of two-dimensional large-scale histological sections and three-dimensional CT data typically used to guide the RFA intervention. The focus is on the developed interactive methods for reconstruction of the histological volume data by fusion of histological and high-resolution CT (MicroCT) data and registration into CT data based on natural feature points. The framework is evaluated using RFA interventions in a porcine liver and applying medically relevant metrics. The results of registration are within clinically required precision targets; thus the developed methods are suitable for validation of the RFA treatment.","author":[{"dropping-particle":"","family":"Seise","given":"Matthias","non-dropping-particle":"","parse-names":false,"suffix":""},{"dropping-particle":"","family":"Alhonnoro","given":"Tuomas","non-dropping-particle":"","parse-names":false,"suffix":""},{"dropping-particle":"","family":"Kolesnik","given":"Marina","non-dropping-particle":"","parse-names":false,"suffix":""}],"container-title":"Journal of pathology informatics","id":"ITEM-2","issued":{"date-parts":[["2011"]]},"page":"S9","title":"Interactive registration of 2D histology and 3D CT data for assessment of radiofrequency ablation treatment.","type":"article-journal","volume":"2"},"uris":["http://www.mendeley.com/documents/?uuid=baee6651-81f4-4283-9c4e-0eec639a0dcb"]}],"mendeley":{"formattedCitation":"&lt;sup&gt;22,23&lt;/sup&gt;","plainTextFormattedCitation":"22,23","previouslyFormattedCitation":"&lt;sup&gt;22,23&lt;/sup&gt;"},"properties":{"noteIndex":0},"schema":"https://github.com/citation-style-language/schema/raw/master/csl-citation.json"}</w:instrText>
      </w:r>
      <w:r w:rsidR="001B2E37">
        <w:rPr>
          <w:rFonts w:ascii="Times New Roman" w:hAnsi="Times New Roman" w:cs="Times New Roman"/>
        </w:rPr>
        <w:fldChar w:fldCharType="separate"/>
      </w:r>
      <w:r w:rsidR="000475DF" w:rsidRPr="000475DF">
        <w:rPr>
          <w:rFonts w:ascii="Times New Roman" w:hAnsi="Times New Roman" w:cs="Times New Roman"/>
          <w:noProof/>
          <w:vertAlign w:val="superscript"/>
        </w:rPr>
        <w:t>22,23</w:t>
      </w:r>
      <w:r w:rsidR="001B2E37">
        <w:rPr>
          <w:rFonts w:ascii="Times New Roman" w:hAnsi="Times New Roman" w:cs="Times New Roman"/>
        </w:rPr>
        <w:fldChar w:fldCharType="end"/>
      </w:r>
      <w:r w:rsidRPr="00AE0186">
        <w:rPr>
          <w:rFonts w:ascii="Times New Roman" w:hAnsi="Times New Roman" w:cs="Times New Roman"/>
        </w:rPr>
        <w:t xml:space="preserve">. Most of them are based on homemade setups with, </w:t>
      </w:r>
      <w:r w:rsidRPr="00AE0186">
        <w:rPr>
          <w:rFonts w:ascii="Times New Roman" w:hAnsi="Times New Roman" w:cs="Times New Roman"/>
          <w:i/>
        </w:rPr>
        <w:t>e.g.</w:t>
      </w:r>
      <w:r w:rsidRPr="00AE0186">
        <w:rPr>
          <w:rFonts w:ascii="Times New Roman" w:hAnsi="Times New Roman" w:cs="Times New Roman"/>
        </w:rPr>
        <w:t>, moulding of subcutaneous tumours or stereotactic assemblies and fiducial markers that preserve spatial orientation throughout the histological preparation, and various digital registration techniques, such as rigid or affine and elastic registration are proposed</w:t>
      </w:r>
      <w:r w:rsidR="001B2E37">
        <w:rPr>
          <w:rFonts w:ascii="Times New Roman" w:hAnsi="Times New Roman" w:cs="Times New Roman"/>
        </w:rPr>
        <w:t xml:space="preserve"> </w:t>
      </w:r>
      <w:r w:rsidR="001B2E37">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{"citationItems":[{"id":"ITEM-1","itemData":{"DOI":"10.1109/TIP.2007.909412","ISBN":"1057-7149","ISSN":"1057-7149","PMID":"18092588","abstract":"A popular technique for nonrigid registration of medical images is based on the maximization of their mutual information, in combination with a deformation field parameterized by cubic B-splines. The coordinate mapping that relates the two images is found using an iterative optimization procedure. This work compares the performance of eight optimization methods: gradient descent (with two different step size selection algorithms), quasi-Newton, nonlinear conjugate gradient, Kiefer-Wolfowitz, simultaneous perturbation, Robbins-Monro, and evolution strategy. Special attention is paid to computation time reduction by using fewer voxels to calculate the cost function and its derivatives. The optimization methods are tested on manually deformed CT images of the heart, on follow-up CT chest scans, and on MR scans of the prostate acquired using a BFFE, T1, and T2 protocol. Registration accuracy is assessed by computing the overlap of segmented edges. Precision and convergence properties are studied by comparing deformation fields. The results show that the Robbins-Monro method is the best choice in most applications. With this approach, the computation time per iteration can be lowered approximately 500 times without affecting the rate of convergence by using a small subset of the image, randomly selected in every iteration, to compute the derivative of the mutual information. From the other methods the quasi-Newton and the nonlinear conjugate gradient method achieve a slightly higher precision, at the price of larger computation times.","author":[{"dropping-particle":"","family":"Klein","given":"Stefan","non-dropping-particle":"","parse-names":false,"suffix":""},{"dropping-particle":"","family":"Staring","given":"Marius","non-dropping-particle":"","parse-names":false,"suffix":""},{"dropping-particle":"","family":"Pluim","given":"Josien P W","non-dropping-particle":"","parse-names":false,"suffix":""}],"container-title":"IEEE Trans. Image Process.","id":"ITEM-1","issue":"12","issued":{"date-parts":[["2007"]]},"page":"2879-2890","title":"Evaluation of optimization methods for nonrigid medical image registration using mutual information and B-splines.","type":"article-journal","volume":"16"},"uris":["http://www.mendeley.com/documents/?uuid=8ad78695-bf34-4551-a0d6-1968e12a49c6","http://www.mendeley.com/documents/?uuid=21a27c25-37c4-4271-b19a-59d1a0afa72a"]}],"mendeley":{"formattedCitation":"&lt;sup&gt;24&lt;/sup&gt;","plainTextFormattedCitation":"24","previouslyFormattedCitation":"&lt;sup&gt;24&lt;/sup&gt;"},"properties":{"noteIndex":0},"schema":"https://github.com/citation-style-language/schema/raw/master/csl-citation.json"}</w:instrText>
      </w:r>
      <w:r w:rsidR="001B2E37">
        <w:rPr>
          <w:rFonts w:ascii="Times New Roman" w:hAnsi="Times New Roman" w:cs="Times New Roman"/>
        </w:rPr>
        <w:fldChar w:fldCharType="separate"/>
      </w:r>
      <w:r w:rsidR="000475DF" w:rsidRPr="000475DF">
        <w:rPr>
          <w:rFonts w:ascii="Times New Roman" w:hAnsi="Times New Roman" w:cs="Times New Roman"/>
          <w:noProof/>
          <w:vertAlign w:val="superscript"/>
        </w:rPr>
        <w:t>24</w:t>
      </w:r>
      <w:r w:rsidR="001B2E37">
        <w:rPr>
          <w:rFonts w:ascii="Times New Roman" w:hAnsi="Times New Roman" w:cs="Times New Roman"/>
        </w:rPr>
        <w:fldChar w:fldCharType="end"/>
      </w:r>
      <w:r w:rsidRPr="00AE0186">
        <w:rPr>
          <w:rFonts w:ascii="Times New Roman" w:hAnsi="Times New Roman" w:cs="Times New Roman"/>
        </w:rPr>
        <w:t xml:space="preserve">. Unfortunately, the laborious nature common to all techniques effectively restrains their use to smaller studies. </w:t>
      </w:r>
    </w:p>
    <w:p w14:paraId="582F91F0" w14:textId="62AE0B5A"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We chose to perform the study on mice xenografted with a patient-derived small intestine neuroendocrine tumour (GOT1</w:t>
      </w:r>
      <w:r w:rsidR="001B2E37">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{"citationItems":[{"id":"ITEM-1","itemData":{"DOI":"10.1016/S0002-9440(10)64017-5","ISSN":"00029440","PMID":"11159212","abstract":"A human midgut carcinoid tumor was successfully transplanted into nude mice and propagated for five consecutive generations (30 months) with well-preserved phenotype. Tumor cells in nude mice expressed identical neuroendocrine markers as the original tumor, including somatostatin receptors (somatostatin receptors 1 to 5) and vesicular monoamine transporters (VMAT1 and VMAT2). Because of the expression of somatostatin receptors and VMAT1 and VMAT2 the grafted tumors could be visualized scintigraphically using the somatostatin analogue 111In-octreotide and the catecholamine analogue 123I-metaiodobenzylguanidine. The biokinetics of the somatostatin analogue 111In-octreotide in the tumors was studied and showed a high retention 7 days after administration. Cell cultures were re-established from transplanted tumors. Immunocytochemical and ultrastructural studies confirmed the neuroendocrine differentiation. The human origin of transplanted tumor cells was confirmed by cytogenetic and fluorescence it situ hybridization analyses. Spontaneous secretion of serotonin and its metabolite, 5-hydroxyindole acetic acid, from tumor cells was demonstrated. The tumor cells increased their [Ca2+]i in response to beta-adrenoceptor stimulation (isoproterenol) and K+-depolarization. All somatostatin receptor subtypes could be demonstrated in cultured cells. This human transplantable carcinoid tumor, designated GOT1, grafted to nude mice, will give unique possibilities for studies of somatostatin receptor- and VMAT-mediated radionuclide uptake as well as for studies of secretory mechanisms.","author":[{"dropping-particle":"","family":"Kölby","given":"Lars","non-dropping-particle":"","parse-names":false,"suffix":""},{"dropping-particle":"","family":"Bernhardt","given":"Peter","non-dropping-particle":"","parse-names":false,"suffix":""},{"dropping-particle":"","family":"Ahlman","given":"Håkan","non-dropping-particle":"","parse-names":false,"suffix":""},{"dropping-particle":"","family":"Wängberg","given":"Bo","non-dropping-particle":"","parse-names":false,"suffix":""},{"dropping-particle":"","family":"Johanson","given":"Viktor","non-dropping-particle":"","parse-names":false,"suffix":""},{"dropping-particle":"","family":"Wigander","given":"Annelie","non-dropping-particle":"","parse-names":false,"suffix":""},{"dropping-particle":"","family":"Forssell-Aronsson","given":"Eva","non-dropping-particle":"","parse-names":false,"suffix":""},{"dropping-particle":"","family":"Karlsson","given":"Sven","non-dropping-particle":"","parse-names":false,"suffix":""},{"dropping-particle":"","family":"Ahrén","given":"Bo","non-dropping-particle":"","parse-names":false,"suffix":""},{"dropping-particle":"","family":"Stenman","given":"Göran","non-dropping-particle":"","parse-names":false,"suffix":""},{"dropping-particle":"","family":"Nilsson","given":"Ola","non-dropping-particle":"","parse-names":false,"suffix":""}],"container-title":"The American Journal of Pathology","id":"ITEM-1","issue":"2","issued":{"date-parts":[["2001","2"]]},"page":"745-755","title":"A Transplantable Human Carcinoid as Model for Somatostatin Receptor-Mediated and Amine Transporter-Mediated Radionuclide Uptake","type":"article-journal","volume":"158"},"uris":["http://www.mendeley.com/documents/?uuid=01043d2f-860c-3b08-948c-35c356ebdc94"]}],"mendeley":{"formattedCitation":"&lt;sup&gt;15&lt;/sup&gt;","plainTextFormattedCitation":"15","previouslyFormattedCitation":"&lt;sup&gt;15&lt;/sup&gt;"},"properties":{"noteIndex":0},"schema":"https://github.com/citation-style-language/schema/raw/master/csl-citation.json"}</w:instrText>
      </w:r>
      <w:r w:rsidR="001B2E37">
        <w:rPr>
          <w:rFonts w:ascii="Times New Roman" w:hAnsi="Times New Roman" w:cs="Times New Roman"/>
        </w:rPr>
        <w:fldChar w:fldCharType="separate"/>
      </w:r>
      <w:r w:rsidR="00A17C25" w:rsidRPr="00A17C25">
        <w:rPr>
          <w:rFonts w:ascii="Times New Roman" w:hAnsi="Times New Roman" w:cs="Times New Roman"/>
          <w:noProof/>
          <w:vertAlign w:val="superscript"/>
        </w:rPr>
        <w:t>15</w:t>
      </w:r>
      <w:r w:rsidR="001B2E37">
        <w:rPr>
          <w:rFonts w:ascii="Times New Roman" w:hAnsi="Times New Roman" w:cs="Times New Roman"/>
        </w:rPr>
        <w:fldChar w:fldCharType="end"/>
      </w:r>
      <w:r w:rsidRPr="00AE0186">
        <w:rPr>
          <w:rFonts w:ascii="Times New Roman" w:hAnsi="Times New Roman" w:cs="Times New Roman"/>
        </w:rPr>
        <w:t xml:space="preserve">) and treated with </w:t>
      </w:r>
      <w:r w:rsidRPr="00AE0186">
        <w:rPr>
          <w:rFonts w:ascii="Times New Roman" w:hAnsi="Times New Roman" w:cs="Times New Roman"/>
          <w:vertAlign w:val="superscript"/>
        </w:rPr>
        <w:t>177</w:t>
      </w:r>
      <w:r w:rsidRPr="00AE0186">
        <w:rPr>
          <w:rFonts w:ascii="Times New Roman" w:hAnsi="Times New Roman" w:cs="Times New Roman"/>
        </w:rPr>
        <w:t>Lu-octreotate, since we have long experience working with this model</w:t>
      </w:r>
      <w:r w:rsidR="00456238">
        <w:rPr>
          <w:rFonts w:ascii="Times New Roman" w:hAnsi="Times New Roman" w:cs="Times New Roman"/>
        </w:rPr>
        <w:t>. The model</w:t>
      </w:r>
      <w:r w:rsidRPr="00AE0186">
        <w:rPr>
          <w:rFonts w:ascii="Times New Roman" w:hAnsi="Times New Roman" w:cs="Times New Roman"/>
        </w:rPr>
        <w:t xml:space="preserve"> has maintained properties similar to as when the tumour was in the patient. In general</w:t>
      </w:r>
      <w:r w:rsidR="007856E8">
        <w:rPr>
          <w:rFonts w:ascii="Times New Roman" w:hAnsi="Times New Roman" w:cs="Times New Roman"/>
        </w:rPr>
        <w:t>,</w:t>
      </w:r>
      <w:r w:rsidRPr="00AE0186">
        <w:rPr>
          <w:rFonts w:ascii="Times New Roman" w:hAnsi="Times New Roman" w:cs="Times New Roman"/>
        </w:rPr>
        <w:t xml:space="preserve"> we do not expect that the choice of treatment would significantly influence the overall results in the present study. It is, however, likely that RNT and, </w:t>
      </w:r>
      <w:r w:rsidRPr="00AE0186">
        <w:rPr>
          <w:rFonts w:ascii="Times New Roman" w:hAnsi="Times New Roman" w:cs="Times New Roman"/>
          <w:i/>
        </w:rPr>
        <w:t>e.g.</w:t>
      </w:r>
      <w:r w:rsidRPr="00AE0186">
        <w:rPr>
          <w:rFonts w:ascii="Times New Roman" w:hAnsi="Times New Roman" w:cs="Times New Roman"/>
        </w:rPr>
        <w:t xml:space="preserve">, external radiation therapy would affect parts of the tumour to a different extent due to inhomogeneous vascular supply, and thereby different accessibility for RNT. </w:t>
      </w:r>
    </w:p>
    <w:p w14:paraId="33FE8705"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The primary target of radiotherapy is to damage tumour cell DNA, but several mechanisms in the tumour microenvironment are also affected by radiation. In addition to tumour cell death, proliferation, vascularization and tissue degeneration should also be affected. The results from the linear mixed effects regression indicate that it should be possible to non-invasively characterize these effects using mpMR, since all four evaluated histological indices could be predicted by one or several MR parameters (</w:t>
      </w:r>
      <w:r w:rsidR="008070BF">
        <w:rPr>
          <w:rFonts w:ascii="Times New Roman" w:hAnsi="Times New Roman" w:cs="Times New Roman"/>
        </w:rPr>
        <w:t>Figure 6</w:t>
      </w:r>
      <w:r w:rsidRPr="00AE0186">
        <w:rPr>
          <w:rFonts w:ascii="Times New Roman" w:hAnsi="Times New Roman" w:cs="Times New Roman"/>
        </w:rPr>
        <w:t xml:space="preserve">). </w:t>
      </w:r>
    </w:p>
    <w:p w14:paraId="468E94B2" w14:textId="0FF71D58"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DCE-MRI parameters reflecting exchange rate and perfusion (</w:t>
      </w:r>
      <w:r w:rsidRPr="00AE0186">
        <w:rPr>
          <w:rFonts w:ascii="Times New Roman" w:hAnsi="Times New Roman" w:cs="Times New Roman"/>
          <w:i/>
        </w:rPr>
        <w:t>e.g.</w:t>
      </w:r>
      <w:r w:rsidRPr="00AE0186">
        <w:rPr>
          <w:rFonts w:ascii="Times New Roman" w:hAnsi="Times New Roman" w:cs="Times New Roman"/>
        </w:rPr>
        <w:t xml:space="preserve"> </w:t>
      </w:r>
      <w:r w:rsidRPr="00AE0186">
        <w:rPr>
          <w:rFonts w:ascii="Times New Roman" w:hAnsi="Times New Roman" w:cs="Times New Roman"/>
          <w:i/>
        </w:rPr>
        <w:t>TTP</w:t>
      </w:r>
      <w:r w:rsidRPr="00AE0186">
        <w:rPr>
          <w:rFonts w:ascii="Times New Roman" w:hAnsi="Times New Roman" w:cs="Times New Roman"/>
        </w:rPr>
        <w:t xml:space="preserve">, </w:t>
      </w:r>
      <w:r w:rsidRPr="00AE0186">
        <w:rPr>
          <w:rFonts w:ascii="Times New Roman" w:hAnsi="Times New Roman" w:cs="Times New Roman"/>
          <w:i/>
        </w:rPr>
        <w:t>TOP</w:t>
      </w:r>
      <w:r w:rsidRPr="00AE0186">
        <w:rPr>
          <w:rFonts w:ascii="Times New Roman" w:hAnsi="Times New Roman" w:cs="Times New Roman"/>
        </w:rPr>
        <w:t xml:space="preserve"> and </w:t>
      </w:r>
      <w:r w:rsidRPr="00AE0186">
        <w:rPr>
          <w:rFonts w:ascii="Times New Roman" w:hAnsi="Times New Roman" w:cs="Times New Roman"/>
          <w:i/>
        </w:rPr>
        <w:t>BE</w:t>
      </w:r>
      <w:r w:rsidRPr="00AE0186">
        <w:rPr>
          <w:rFonts w:ascii="Times New Roman" w:hAnsi="Times New Roman" w:cs="Times New Roman"/>
        </w:rPr>
        <w:t>) were, to a higher extent than contrast amount-related parameters (</w:t>
      </w:r>
      <w:r w:rsidRPr="00AE0186">
        <w:rPr>
          <w:rFonts w:ascii="Times New Roman" w:hAnsi="Times New Roman" w:cs="Times New Roman"/>
          <w:i/>
        </w:rPr>
        <w:t>e.g.</w:t>
      </w:r>
      <w:r w:rsidRPr="00AE0186">
        <w:rPr>
          <w:rFonts w:ascii="Times New Roman" w:hAnsi="Times New Roman" w:cs="Times New Roman"/>
        </w:rPr>
        <w:t xml:space="preserve"> </w:t>
      </w:r>
      <w:r w:rsidRPr="00AE0186">
        <w:rPr>
          <w:rFonts w:ascii="Times New Roman" w:hAnsi="Times New Roman" w:cs="Times New Roman"/>
          <w:i/>
        </w:rPr>
        <w:t>AUCn</w:t>
      </w:r>
      <w:r w:rsidRPr="00AE0186">
        <w:rPr>
          <w:rFonts w:ascii="Times New Roman" w:hAnsi="Times New Roman" w:cs="Times New Roman"/>
        </w:rPr>
        <w:t xml:space="preserve"> and </w:t>
      </w:r>
      <w:r w:rsidRPr="00AE0186">
        <w:rPr>
          <w:rFonts w:ascii="Times New Roman" w:hAnsi="Times New Roman" w:cs="Times New Roman"/>
          <w:i/>
        </w:rPr>
        <w:t>SEmax</w:t>
      </w:r>
      <w:r w:rsidRPr="00AE0186">
        <w:rPr>
          <w:rFonts w:ascii="Times New Roman" w:hAnsi="Times New Roman" w:cs="Times New Roman"/>
        </w:rPr>
        <w:t xml:space="preserve">) negatively associated with HEcount, which is in agreement </w:t>
      </w:r>
      <w:r w:rsidRPr="0029677C">
        <w:rPr>
          <w:rFonts w:ascii="Times New Roman" w:hAnsi="Times New Roman" w:cs="Times New Roman"/>
        </w:rPr>
        <w:t>with other studies</w:t>
      </w:r>
      <w:r w:rsidR="001B2E37">
        <w:rPr>
          <w:rFonts w:ascii="Times New Roman" w:hAnsi="Times New Roman" w:cs="Times New Roman"/>
        </w:rPr>
        <w:t xml:space="preserve"> </w:t>
      </w:r>
      <w:r w:rsidR="0029677C">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{"citationItems":[{"id":"ITEM-1","itemData":{"DOI":"10.1371/journal.pone.0077076","ISBN":"1932-6203 (Electronic)\\r1932-6203 (Linking)","ISSN":"19326203","PMID":"24116203","abstract":"Although efficient delivery and distribution of treatment agents over the whole tumor is essential for successful tumor treatment, the distribution of most of these agents cannot be visualized. However, with single-photon emission computed tomography (SPECT), both delivery and uptake of radiolabeled peptides can be visualized in a neuroendocrine tumor model overexpressing somatostatin receptors. A heterogeneous peptide uptake is often observed in these tumors. We hypothesized that peptide distribution in the tumor is spatially related to tumor perfusion, vessel density and permeability, as imaged and quantified by DCE-MRI in a neuroendocrine tumor model. Four subcutaneous CA20948 tumor-bearing Lewis rats were injected with the somatostatin-analog (111)In-DTPA-Octreotide (50 MBq). SPECT-CT and MRI scans were acquired and MRI was spatially registered to SPECT-CT. DCE-MRI was analyzed using semi-quantitative and quantitative methods. Correlation between SPECT and DCE-MRI was investigated with 1) Spearman's rank correlation coefficient; 2) SPECT uptake values grouped into deciles with corresponding median DCE-MRI parametric values and vice versa; and 3) linear regression analysis for median parameter values in combined datasets. In all tumors, areas with low peptide uptake correlated with low perfusion/density/ /permeability for all DCE-MRI-derived parameters. Combining all datasets, highest linear regression was found between peptide uptake and semi-quantitative parameters (R(2)&gt;0.7). The average correlation coefficient between SPECT and DCE-MRI-derived parameters ranged from 0.52-0.56 (p&lt;0.05) for parameters primarily associated with exchange between blood and extracellular extravascular space. For these parameters a linear relation with peptide uptake was observed. In conclusion, the 'exchange-related' DCE-MRI-derived parameters seemed to predict peptide uptake better than the 'contrast amount- related' parameters. Consequently, fast and efficient diffusion through the vessel wall into tissue is an important factor for peptide delivery. DCE-MRI helps to elucidate the relation between vascular characteristics, peptide delivery and treatment efficacy, and may form a basis to predict targeting efficiency.","author":[{"dropping-particle":"","family":"Bol","given":"Karin","non-dropping-particle":"","parse-names":false,"suffix":""},{"dropping-particle":"","family":"Haeck","given":"Joost C.","non-dropping-particle":"","parse-names":false,"suffix":""},{"dropping-particle":"","family":"Groen","given":"Harald C.","non-dropping-particle":"","parse-names":false,"suffix":""},{"dropping-particle":"","family":"Niessen","given":"Wiro J.","non-dropping-particle":"","parse-names":false,"suffix":""},{"dropping-particle":"","family":"Bernsen","given":"Monique R.","non-dropping-particle":"","parse-names":false,"suffix":""},{"dropping-particle":"","family":"Jong","given":"Marion","non-dropping-particle":"de","parse-names":false,"suffix":""},{"dropping-particle":"","family":"Veenland","given":"Jifke F.","non-dropping-particle":"","parse-names":false,"suffix":""}],"container-title":"PLoS ONE","id":"ITEM-1","issue":"10","issued":{"date-parts":[["2013"]]},"page":"1-11","title":"Can DCE-MRI Explain the Heterogeneity in Radiopeptide Uptake Imaged by SPECT in a Pancreatic Neuroendocrine Tumor Model?","type":"article-journal","volume":"8"},"uris":["http://www.mendeley.com/documents/?uuid=23d82f74-f538-4c98-a1be-9bd6efb816bc"]},{"id":"ITEM-2","itemData":{"DOI":"10.1186/s13550-016-0160-4","ISBN":"2191-219X (Electronic)","ISSN":"2191-219X","PMID":"26769345","abstract":"BACKGROUND: As model system, a solid-tumor patient-derived xenograft (PDX) model characterized by high peptide receptor expression and histological tissue homogeneity was used to study radiopeptide targeting. In this solid-tumor model, high tumor uptake of targeting peptides was expected. However, in vivo SPECT images showed substantial heterogeneous radioactivity accumulation despite homogenous receptor distribution in the tumor xenografts as assessed by in vitro autoradiography. We hypothesized that delivery of peptide to the tumor cells is dictated by adequate local tumor perfusion. To study this relationship, sequential SPECT/CT and MRI were performed to assess the role of vascular functionality in radiopeptide accumulation.\\n\\nMETHODS: High-resolution SPECT and dynamic contrast-enhanced (DCE)-MRI were acquired in six mice bearing PC295 PDX tumors expressing the gastrin-releasing peptide (GRP) receptor. Two hours prior to SPECT imaging, animals received 25 MBq (111)In(DOTA-(βAla)2-JMV594) (25 pmol). Images were acquired using multipinhole SPECT/CT. Directly after SPECT imaging, MR images were acquired on a 7.0-T dedicated animal scanner. DCE-MR images were quantified using semi-quantitative and quantitative models. The DCE-MR and SPECT images were spatially aligned to compute the correlations between radioactivity and DCE-MRI-derived parameters over the tumor.\\n\\nRESULTS: Whereas histology, in vitro autoradiography, and multiple-weighted MRI scans all showed homogenous tissue characteristics, both SPECT and DCE-MRI showed heterogeneous distribution patterns throughout the tumor. The average Spearman's correlation coefficient between SPECT and DCE-MRI ranged from 0.57 to 0.63 for the \"exchange-related\" DCE-MRI perfusion parameters.\\n\\nCONCLUSIONS: A positive correlation was shown between exchange-related DCE-MRI perfusion parameters and the amount of radioactivity accumulated as measured by SPECT, demonstrating that vascular function was an important aspect of radiopeptide distribution in solid tumors. The combined use of SPECT and MRI added crucial information on the perfusion efficiency versus radiopeptide uptake in solid tumors and showed that functional tumor characteristics varied locally even when the tissue appeared homogenous on current standard assessment techniques.","author":[{"dropping-particle":"","family":"Haeck","given":"J C","non-dropping-particle":"","parse-names":false,"suffix":""},{"dropping-particle":"","family":"Bol","given":"K","non-dropping-particle":"","parse-names":false,"suffix":""},{"dropping-particle":"","family":"Ridder","given":"C M A","non-dropping-particle":"de","parse-names":false,"suffix":""},{"dropping-particle":"","family":"Brunel","given":"L","non-dropping-particle":"","parse-names":false,"suffix":""},{"dropping-particle":"","family":"Fehrentz","given":"J A","non-dropping-particle":"","parse-names":false,"suffix":""},{"dropping-particle":"","family":"Martinez","given":"J","non-dropping-particle":"","parse-names":false,"suffix":""},{"dropping-particle":"","family":"Weerden","given":"W M","non-dropping-particle":"van","parse-names":false,"suffix":""},{"dropping-particle":"","family":"Bernsen","given":"M R","non-dropping-particle":"","parse-names":false,"suffix":""},{"dropping-particle":"","family":"Jong","given":"M","non-dropping-particle":"de","parse-names":false,"suffix":""},{"dropping-particle":"","family":"Veenland","given":"J F","non-dropping-particle":"","parse-names":false,"suffix":""}],"container-title":"EJNMMI research","id":"ITEM-2","issue":"1","issued":{"date-parts":[["2016"]]},"page":"3","publisher":"EJNMMI Research","title":"Imaging heterogeneity of peptide delivery and binding in solid tumors using SPECT imaging and MRI.","type":"article-journal","volume":"6"},"uris":["http://www.mendeley.com/documents/?uuid=d8888327-5352-4c51-9fe0-2280d19860e0"]}],"mendeley":{"formattedCitation":"&lt;sup&gt;25,26&lt;/sup&gt;","plainTextFormattedCitation":"25,26","previouslyFormattedCitation":"&lt;sup&gt;25,26&lt;/sup&gt;"},"properties":{"noteIndex":0},"schema":"https://github.com/citation-style-language/schema/raw/master/csl-citation.json"}</w:instrText>
      </w:r>
      <w:r w:rsidR="0029677C">
        <w:rPr>
          <w:rFonts w:ascii="Times New Roman" w:hAnsi="Times New Roman" w:cs="Times New Roman"/>
        </w:rPr>
        <w:fldChar w:fldCharType="separate"/>
      </w:r>
      <w:r w:rsidR="000475DF" w:rsidRPr="000475DF">
        <w:rPr>
          <w:rFonts w:ascii="Times New Roman" w:hAnsi="Times New Roman" w:cs="Times New Roman"/>
          <w:noProof/>
          <w:vertAlign w:val="superscript"/>
        </w:rPr>
        <w:t>25,26</w:t>
      </w:r>
      <w:r w:rsidR="0029677C">
        <w:rPr>
          <w:rFonts w:ascii="Times New Roman" w:hAnsi="Times New Roman" w:cs="Times New Roman"/>
        </w:rPr>
        <w:fldChar w:fldCharType="end"/>
      </w:r>
      <w:r w:rsidRPr="00AE0186">
        <w:rPr>
          <w:rFonts w:ascii="Times New Roman" w:hAnsi="Times New Roman" w:cs="Times New Roman"/>
        </w:rPr>
        <w:t xml:space="preserve"> (</w:t>
      </w:r>
      <w:r w:rsidR="008070BF">
        <w:rPr>
          <w:rFonts w:ascii="Times New Roman" w:hAnsi="Times New Roman" w:cs="Times New Roman"/>
        </w:rPr>
        <w:t>Figure 6</w:t>
      </w:r>
      <w:r w:rsidRPr="00AE0186">
        <w:rPr>
          <w:rFonts w:ascii="Times New Roman" w:hAnsi="Times New Roman" w:cs="Times New Roman"/>
        </w:rPr>
        <w:t xml:space="preserve">). If low </w:t>
      </w:r>
      <w:r w:rsidRPr="00AE0186">
        <w:rPr>
          <w:rFonts w:ascii="Times New Roman" w:hAnsi="Times New Roman" w:cs="Times New Roman"/>
          <w:i/>
        </w:rPr>
        <w:t>TTP</w:t>
      </w:r>
      <w:r w:rsidRPr="00AE0186">
        <w:rPr>
          <w:rFonts w:ascii="Times New Roman" w:hAnsi="Times New Roman" w:cs="Times New Roman"/>
        </w:rPr>
        <w:t xml:space="preserve">, </w:t>
      </w:r>
      <w:r w:rsidRPr="00AE0186">
        <w:rPr>
          <w:rFonts w:ascii="Times New Roman" w:hAnsi="Times New Roman" w:cs="Times New Roman"/>
          <w:i/>
        </w:rPr>
        <w:t>TOP</w:t>
      </w:r>
      <w:r w:rsidRPr="00AE0186">
        <w:rPr>
          <w:rFonts w:ascii="Times New Roman" w:hAnsi="Times New Roman" w:cs="Times New Roman"/>
        </w:rPr>
        <w:t xml:space="preserve"> and </w:t>
      </w:r>
      <w:r w:rsidRPr="00AE0186">
        <w:rPr>
          <w:rFonts w:ascii="Times New Roman" w:hAnsi="Times New Roman" w:cs="Times New Roman"/>
          <w:i/>
        </w:rPr>
        <w:t xml:space="preserve">BE, </w:t>
      </w:r>
      <w:r w:rsidRPr="00AE0186">
        <w:rPr>
          <w:rFonts w:ascii="Times New Roman" w:hAnsi="Times New Roman" w:cs="Times New Roman"/>
        </w:rPr>
        <w:t xml:space="preserve">implies adequate vascular function and perfusion, and thereby delivery of </w:t>
      </w:r>
      <w:r w:rsidRPr="00AE0186">
        <w:rPr>
          <w:rFonts w:ascii="Times New Roman" w:hAnsi="Times New Roman" w:cs="Times New Roman"/>
          <w:vertAlign w:val="superscript"/>
        </w:rPr>
        <w:t>177</w:t>
      </w:r>
      <w:r w:rsidRPr="00AE0186">
        <w:rPr>
          <w:rFonts w:ascii="Times New Roman" w:hAnsi="Times New Roman" w:cs="Times New Roman"/>
        </w:rPr>
        <w:t>Lu-octreotate, it may have led to increased apopto</w:t>
      </w:r>
      <w:r w:rsidR="00F82347">
        <w:rPr>
          <w:rFonts w:ascii="Times New Roman" w:hAnsi="Times New Roman" w:cs="Times New Roman"/>
        </w:rPr>
        <w:t>tic activity</w:t>
      </w:r>
      <w:r w:rsidRPr="00AE0186">
        <w:rPr>
          <w:rFonts w:ascii="Times New Roman" w:hAnsi="Times New Roman" w:cs="Times New Roman"/>
        </w:rPr>
        <w:t xml:space="preserve"> in these regions. </w:t>
      </w:r>
      <w:r w:rsidR="00BB0264">
        <w:rPr>
          <w:rFonts w:ascii="Times New Roman" w:hAnsi="Times New Roman" w:cs="Times New Roman"/>
        </w:rPr>
        <w:t xml:space="preserve">It should be noted that TTP, TOP and BE were measured </w:t>
      </w:r>
      <w:r w:rsidR="002D1CD6">
        <w:rPr>
          <w:rFonts w:ascii="Times New Roman" w:hAnsi="Times New Roman" w:cs="Times New Roman"/>
        </w:rPr>
        <w:t xml:space="preserve">a week prior to the tumour extraction for HEcount calculation, </w:t>
      </w:r>
      <w:r w:rsidR="00F82347">
        <w:rPr>
          <w:rFonts w:ascii="Times New Roman" w:hAnsi="Times New Roman" w:cs="Times New Roman"/>
        </w:rPr>
        <w:t>but</w:t>
      </w:r>
      <w:r w:rsidR="002D1CD6">
        <w:rPr>
          <w:rFonts w:ascii="Times New Roman" w:hAnsi="Times New Roman" w:cs="Times New Roman"/>
        </w:rPr>
        <w:t xml:space="preserve"> it seems plausible that apoptosis </w:t>
      </w:r>
      <w:r w:rsidR="00456238">
        <w:rPr>
          <w:rFonts w:ascii="Times New Roman" w:hAnsi="Times New Roman" w:cs="Times New Roman"/>
        </w:rPr>
        <w:t xml:space="preserve">was induced </w:t>
      </w:r>
      <w:r w:rsidR="002D1CD6">
        <w:rPr>
          <w:rFonts w:ascii="Times New Roman" w:hAnsi="Times New Roman" w:cs="Times New Roman"/>
        </w:rPr>
        <w:t>in tumour regions previously well perfused</w:t>
      </w:r>
      <w:r w:rsidR="00456238">
        <w:rPr>
          <w:rFonts w:ascii="Times New Roman" w:hAnsi="Times New Roman" w:cs="Times New Roman"/>
        </w:rPr>
        <w:t>, and thereby adequately reached by the therapeutics</w:t>
      </w:r>
      <w:r w:rsidR="002D1CD6">
        <w:rPr>
          <w:rFonts w:ascii="Times New Roman" w:hAnsi="Times New Roman" w:cs="Times New Roman"/>
        </w:rPr>
        <w:t>.</w:t>
      </w:r>
      <w:r w:rsidR="00BB0264">
        <w:rPr>
          <w:rFonts w:ascii="Times New Roman" w:hAnsi="Times New Roman" w:cs="Times New Roman"/>
        </w:rPr>
        <w:t xml:space="preserve"> </w:t>
      </w:r>
      <w:r w:rsidRPr="00AE0186">
        <w:rPr>
          <w:rFonts w:ascii="Times New Roman" w:hAnsi="Times New Roman" w:cs="Times New Roman"/>
        </w:rPr>
        <w:t xml:space="preserve">Our results also showed a positive correlation between </w:t>
      </w:r>
      <w:r w:rsidRPr="00AE0186">
        <w:rPr>
          <w:rFonts w:ascii="Times New Roman" w:hAnsi="Times New Roman" w:cs="Times New Roman"/>
          <w:i/>
        </w:rPr>
        <w:t>IS</w:t>
      </w:r>
      <w:r w:rsidRPr="00AE0186">
        <w:rPr>
          <w:rFonts w:ascii="Times New Roman" w:hAnsi="Times New Roman" w:cs="Times New Roman"/>
        </w:rPr>
        <w:t xml:space="preserve">, the initial slope of the TIC, and Ki67count. In tumours, the vascular permeability is often high, and </w:t>
      </w:r>
      <w:r w:rsidRPr="00AE0186">
        <w:rPr>
          <w:rFonts w:ascii="Times New Roman" w:hAnsi="Times New Roman" w:cs="Times New Roman"/>
          <w:i/>
        </w:rPr>
        <w:t xml:space="preserve">IS </w:t>
      </w:r>
      <w:r w:rsidRPr="00AE0186">
        <w:rPr>
          <w:rFonts w:ascii="Times New Roman" w:hAnsi="Times New Roman" w:cs="Times New Roman"/>
        </w:rPr>
        <w:t>is therefore considered a measure of perfusion</w:t>
      </w:r>
      <w:r w:rsidR="0029677C">
        <w:rPr>
          <w:rFonts w:ascii="Times New Roman" w:hAnsi="Times New Roman" w:cs="Times New Roman"/>
        </w:rPr>
        <w:t xml:space="preserve"> </w:t>
      </w:r>
      <w:r w:rsidR="0029677C">
        <w:rPr>
          <w:rFonts w:ascii="Times New Roman" w:hAnsi="Times New Roman" w:cs="Times New Roman"/>
        </w:rPr>
        <w:fldChar w:fldCharType="begin" w:fldLock="1"/>
      </w:r>
      <w:r w:rsidR="00A73396">
        <w:rPr>
          <w:rFonts w:ascii="Times New Roman" w:hAnsi="Times New Roman" w:cs="Times New Roman"/>
        </w:rPr>
        <w:instrText>ADDIN CSL_CITATION {"citationItems":[{"id":"ITEM-1","itemData":{"DOI":"10.1002/mrm.1910330408","ISBN":"0740-3194 (Print)\\n0740-3194 (Linking)","ISSN":"15222594","PMID":"7776881","abstract":"A dynamic contrast-enhanced MRI technique for whole breast examinations is presented. The fast kinetics of tissue response during and after constant-rate intravenous infusion of gadolinium diethylenetriaminopentaacetic acid was resolved using a strongly T1-weighted saturation recovery TurboFLASH sequence that makes it possible to acquire signal-time courses sequentially from 15 adjacent slices with a temporal sampling rate of 21 s. On the basis of the mathematically established and experimentally verified linear relationship between the measured saturation recovery TurboFLASH signal variation and the gadolinium diethylenetriaminopentaacetic acid concentration in the tissue, the signal-time courses were analyzed within the framework of pharmacokinetic modeling. In our study, the tissue response was parameterized adequately using an open linear two-compartment model. With this approach, the tissue specific information contained in the signal-time course can be described using only two parameters: an amplitude A, reflecting the degree of MR signal enhancement, and an exchange parameter k21, characterizing vascular permeability and perfusion of the tissue. A clearly arranged representation of the large amount of data (480 saturation recovery TurboFLASH breast images/examination) was accomplished by means of color coding of the computed parameters, resulting in one color-coded pharmacokinetic parameter map/cross-section.","author":[{"dropping-particle":"","family":"Hoffmann","given":"Ulf","non-dropping-particle":"","parse-names":false,"suffix":""},{"dropping-particle":"","family":"Brix","given":"Gunnar","non-dropping-particle":"","parse-names":false,"suffix":""},{"dropping-particle":"V.","family":"Knopp","given":"Michael","non-dropping-particle":"","parse-names":false,"suffix":""},{"dropping-particle":"","family":"Hess","given":"Thomas","non-dropping-particle":"","parse-names":false,"suffix":""},{"dropping-particle":"","family":"Lorenz","given":"Walter J.","non-dropping-particle":"","parse-names":false,"suffix":""}],"container-title":"Magnetic Resonance in Medicine","id":"ITEM-1","issue":"4","issued":{"date-parts":[["1995"]]},"page":"506-514","title":"Pharmacokinetic Mapping of the Breast: A New Method for Dynamic MR Mammography","type":"article-journal","volume":"33"},"uris":["http://www.mendeley.com/documents/?uuid=3f3e07ed-4c95-4d55-bddb-b34a51870e7f"]},{"id":"ITEM-2","itemData":{"DOI":"10.1007/s00330-007-0619-9","ISBN":"0938-7994 (Print)","ISSN":"09387994","PMID":"17340100","abstract":"Surrogate markers and biomarkers based on imaging readouts providing predictive information on clinical outcome are of increasing importance in the preclinical and clinical evaluation of novel therapies. They are primarily used in studies designed to establish evidence that the therapeutic principle is valid in a representative patient population or in an individual. A critical step in the development of (imaging) surrogates is validation: correlation with established clinical endpoints must be demonstrated. Biomarkers must not fulfill such stringent validation criteria; however, they should provide insight into mechanistic aspects of the therapeutic intervention (proof-of-mechanism) or document therapy efficacy with prognostic quality with regard to the long-term clinical outcome (proof of concept). Currently used imaging biomarkers provide structural, physiological and metabolic information. Novel imaging approaches annotate structure with molecular signatures that are tightly linked to the pathophysiology or to the therapeutic principle. These cellular and molecular imaging methods yield information on drug biodistribution, receptor expression and occupancy, and/or intra- and intercellular signaling. The design of novel target-specific imaging probes is closely related to the development of the therapeutic agents and should be considered early in the discovery phase. Significant technical and regulatory hurdles have to be overcome to foster the use of imaging biomarkers for clinical drug evaluation.","author":[{"dropping-particle":"","family":"Rudin","given":"Markus","non-dropping-particle":"","parse-names":false,"suffix":""}],"container-title":"European Radiology","id":"ITEM-2","issue":"10","issued":{"date-parts":[["2007"]]},"page":"2441-2447","title":"Imaging readouts as biomarkers or surrogate parameters for the assessment of therapeutic interventions","type":"article-journal","volume":"17"},"uris":["http://www.mendeley.com/documents/?uuid=f38e8a43-2227-44e6-b3e0-d8fb53b272e8"]},{"id":"ITEM-3","itemData":{"DOI":"10.1073/pnas.0901807106","ISBN":"0027-8424","ISSN":"1091-6490","PMID":"19366661","abstract":"Noninvasive or minimally invasive prediction of tumor metastatic potential would facilitate individualized cancer management. Studies were performed on a panel of human melanoma xenografts that spanned the full range of metastatic potential measured by an in vivo lung colony assay and an in vitro membrane invasion culture system. Three imaging methods potentially transferable to the clinic [dynamic contrast-enhanced (DCE) MRI, T(1(rho))-MRI, and low-temperature fluorescence imaging (measurable on biopsy specimens)] distinguished between relatively less metastatic and more metastatic human melanoma xenografts in nude mice. DCE-MRI, analyzed with the shutter-speed relaxometric algorithm and using an arterial input function simultaneously measured in the left ventricle of the mouse heart, yielded a blood transfer rate constant, K(trans), that measures vascular perfusion/permeability. K(trans) was significantly higher in the core of the least metastatic melanoma (A375P) than in the core of the most metastatic melanoma (C8161). C8161 melanoma had more blood vascular structures but fewer functional blood vessels than A375P melanoma. The A375P melanoma exhibited mean T(1(rho)) values that were significantly higher than those of C8161 melanoma. Measurements of T(1) and T(2) relaxation times did not differ significantly between these 2 melanomas. The mitochondrial redox ratio, Fp/(Fp + NADH), where Fp and NADH are the fluorescences of oxidized flavoproteins and reduced pyridine nucleotides, respectively, varied linearly with the in vitro invasive potential of the 5 melanoma cell lines (A375P, A375M, A375P10, A375P5, and C8161). This study shows that a harsh microenvironment may promote melanoma metastasis and provides potential biomarkers of metastatic potential.","author":[{"dropping-particle":"","family":"Li","given":"Lin Z","non-dropping-particle":"","parse-names":false,"suffix":""},{"dropping-particle":"","family":"Zhou","given":"Rong","non-dropping-particle":"","parse-names":false,"suffix":""},{"dropping-particle":"","family":"Xu","given":"He N","non-dropping-particle":"","parse-names":false,"suffix":""},{"dropping-particle":"","family":"Moon","given":"Lily","non-dropping-particle":"","parse-names":false,"suffix":""},{"dropping-particle":"","family":"Zhong","given":"Tuoxiu","non-dropping-particle":"","parse-names":false,"suffix":""},{"dropping-particle":"","family":"Kim","given":"Eun Ju","non-dropping-particle":"","parse-names":false,"suffix":""},{"dropping-particle":"","family":"Qiao","given":"Hui","non-dropping-particle":"","parse-names":false,"suffix":""},{"dropping-particle":"","family":"Reddy","given":"Ravinder","non-dropping-particle":"","parse-names":false,"suffix":""},{"dropping-particle":"","family":"Leeper","given":"Dennis","non-dropping-particle":"","parse-names":false,"suffix":""},{"dropping-particle":"","family":"Chance","given":"Britton","non-dropping-particle":"","parse-names":false,"suffix":""},{"dropping-particle":"","family":"Glickson","given":"Jerry D","non-dropping-particle":"","parse-names":false,"suffix":""}],"container-title":"Proceedings of the National Academy of Sciences of the United States of America","id":"ITEM-3","issue":"16","issued":{"date-parts":[["2009"]]},"page":"6608-6613","title":"Quantitative magnetic resonance and optical imaging biomarkers of melanoma metastatic potential.","type":"article-journal","volume":"106"},"uris":["http://www.mendeley.com/documents/?uuid=bc7fa888-30d5-4b33-8c31-1897d528d9db"]}],"mendeley":{"formattedCitation":"&lt;sup&gt;27–29&lt;/sup&gt;","plainTextFormattedCitation":"27–29","previouslyFormattedCitation":"&lt;sup&gt;27–29&lt;/sup&gt;"},"properties":{"noteIndex":0},"schema":"https://github.com/citation-style-language/schema/raw/master/csl-citation.json"}</w:instrText>
      </w:r>
      <w:r w:rsidR="0029677C">
        <w:rPr>
          <w:rFonts w:ascii="Times New Roman" w:hAnsi="Times New Roman" w:cs="Times New Roman"/>
        </w:rPr>
        <w:fldChar w:fldCharType="separate"/>
      </w:r>
      <w:r w:rsidR="000475DF" w:rsidRPr="000475DF">
        <w:rPr>
          <w:rFonts w:ascii="Times New Roman" w:hAnsi="Times New Roman" w:cs="Times New Roman"/>
          <w:noProof/>
          <w:vertAlign w:val="superscript"/>
        </w:rPr>
        <w:t>27–29</w:t>
      </w:r>
      <w:r w:rsidR="0029677C">
        <w:rPr>
          <w:rFonts w:ascii="Times New Roman" w:hAnsi="Times New Roman" w:cs="Times New Roman"/>
        </w:rPr>
        <w:fldChar w:fldCharType="end"/>
      </w:r>
      <w:r w:rsidRPr="00AE0186">
        <w:rPr>
          <w:rFonts w:ascii="Times New Roman" w:hAnsi="Times New Roman" w:cs="Times New Roman"/>
        </w:rPr>
        <w:t xml:space="preserve">. This agrees with our results, since </w:t>
      </w:r>
      <w:r w:rsidR="00106F74">
        <w:rPr>
          <w:rFonts w:ascii="Times New Roman" w:hAnsi="Times New Roman" w:cs="Times New Roman"/>
        </w:rPr>
        <w:t xml:space="preserve">perfused </w:t>
      </w:r>
      <w:r w:rsidRPr="00AE0186">
        <w:rPr>
          <w:rFonts w:ascii="Times New Roman" w:hAnsi="Times New Roman" w:cs="Times New Roman"/>
        </w:rPr>
        <w:t xml:space="preserve">tumour regions should allow higher proliferative activity due to adequate supply of nutrients and oxygen. For similar reasons, </w:t>
      </w:r>
      <w:r w:rsidRPr="00AE0186">
        <w:rPr>
          <w:rFonts w:ascii="Times New Roman" w:hAnsi="Times New Roman" w:cs="Times New Roman"/>
          <w:i/>
        </w:rPr>
        <w:t>IS</w:t>
      </w:r>
      <w:r w:rsidRPr="00AE0186">
        <w:rPr>
          <w:rFonts w:ascii="Times New Roman" w:hAnsi="Times New Roman" w:cs="Times New Roman"/>
        </w:rPr>
        <w:t xml:space="preserve"> may also reflect tissue oxygen status. In a rat model of prostate cancer, rapid rise of the TIC (similar to high </w:t>
      </w:r>
      <w:r w:rsidRPr="00AE0186">
        <w:rPr>
          <w:rFonts w:ascii="Times New Roman" w:hAnsi="Times New Roman" w:cs="Times New Roman"/>
          <w:i/>
        </w:rPr>
        <w:t>IS</w:t>
      </w:r>
      <w:r w:rsidRPr="00AE0186">
        <w:rPr>
          <w:rFonts w:ascii="Times New Roman" w:hAnsi="Times New Roman" w:cs="Times New Roman"/>
        </w:rPr>
        <w:t xml:space="preserve">) was found in tumour regions that were less hypoxic on histology and </w:t>
      </w:r>
      <w:r w:rsidRPr="00AE0186">
        <w:rPr>
          <w:rFonts w:ascii="Times New Roman" w:hAnsi="Times New Roman" w:cs="Times New Roman"/>
          <w:i/>
        </w:rPr>
        <w:t>vice versa</w:t>
      </w:r>
      <w:r w:rsidRPr="00AE0186">
        <w:rPr>
          <w:rFonts w:ascii="Times New Roman" w:hAnsi="Times New Roman" w:cs="Times New Roman"/>
        </w:rPr>
        <w:t xml:space="preserve"> </w:t>
      </w:r>
      <w:r w:rsidR="0029677C">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{"citationItems":[{"id":"ITEM-1","itemData":{"DOI":"10.1593/neo.81360","ISBN":"1476-5586 (Electronic)\\n1476-5586 (Linking)","ISSN":"1476-5586","PMID":"19242606","abstract":"In vivo knowledge of the spatial distribution of viable, necrotic, and hypoxic areas can provide prognostic information about the risk of developing metastases and regional radiation sensitivity and may be used potentially for localized dose escalation in radiation treatment. In this study, multimodality in vivo magnetic resonance imaging (MRI) and positron emission tomography (PET) imaging using stereotactic fiduciary markers in the Dunning R3327-AT prostate tumor were performed, focusing on the relationship between dynamic contrast-enhanced (DCE) MRI using Magnevist (Gd-DTPA) and dynamic (18)F-fluoromisonidazole ((18)F-Fmiso) PET. The noninvasive measurements were verified using tumor tissue sections stained for hematoxylin/eosin and pimonidazole. To further validate the relationship between (18)F-Fmiso and pimonidazole uptake, (18)F digital autoradiography was performed on a selected tumor and compared with the corresponding pimonidazole-stained slices. The comparison of Akep values (kep = rate constant of movement of Gd-DTPA between the interstitial space and plasma and A = amplitude in the two-compartment model (Hoffmann U, Brix G, Knopp MV, Hess T and Lorenz WJ (1995). Magn Reson Med 33, 506-514) derived from DCE-MRI studies and from early (18)F-Fmiso uptake PET studies showed that tumor vasculature is a major determinant of early (18)F-Fmiso uptake. A negative correlation between the spatial map of Akep and the slope map of late (last 1 hour of the dynamic PET scan) (18)F-Fmiso uptake was observed. The relationships between DCE-MRI and hematoxylin/eosin slices and between (18)F-Fmiso PET and pimonidazole slices confirm the validity of MRI/PET measurements to image the tumor microenvironment and to identify regions of tumor necrosis, hypoxia, and well-perfused tissue.","author":[{"dropping-particle":"","family":"Cho","given":"HyungJoon","non-dropping-particle":"","parse-names":false,"suffix":""},{"dropping-particle":"","family":"Ackerstaff","given":"Ellen","non-dropping-particle":"","parse-names":false,"suffix":""},{"dropping-particle":"","family":"Carlin","given":"Sean","non-dropping-particle":"","parse-names":false,"suffix":""},{"dropping-particle":"","family":"Lupu","given":"Mihaela E","non-dropping-particle":"","parse-names":false,"suffix":""},{"dropping-particle":"","family":"Wang","given":"Ya","non-dropping-particle":"","parse-names":false,"suffix":""},{"dropping-particle":"","family":"Rizwan","given":"Asif","non-dropping-particle":"","parse-names":false,"suffix":""},{"dropping-particle":"","family":"O'Donoghue","given":"Joseph","non-dropping-particle":"","parse-names":false,"suffix":""},{"dropping-particle":"","family":"Ling","given":"C Clifton","non-dropping-particle":"","parse-names":false,"suffix":""},{"dropping-particle":"","family":"Humm","given":"John L","non-dropping-particle":"","parse-names":false,"suffix":""},{"dropping-particle":"","family":"Zanzonico","given":"Pat B","non-dropping-particle":"","parse-names":false,"suffix":""},{"dropping-particle":"","family":"Koutcher","given":"Jason A","non-dropping-particle":"","parse-names":false,"suffix":""}],"container-title":"Neoplasia (New York, N.Y.)","id":"ITEM-1","issue":"3","issued":{"date-parts":[["2009"]]},"page":"247-59, 2p following 259","title":"Noninvasive multimodality imaging of the tumor microenvironment: registered dynamic magnetic resonance imaging and positron emission tomography studies of a preclinical tumor model of tumor hypoxia.","type":"article-journal","volume":"11"},"uris":["http://www.mendeley.com/documents/?uuid=bd1949ab-1617-47b9-8c8a-6106b9adc47b"]}],"mendeley":{"formattedCitation":"&lt;sup&gt;30&lt;/sup&gt;","plainTextFormattedCitation":"30","previouslyFormattedCitation":"&lt;sup&gt;30&lt;/sup&gt;"},"properties":{"noteIndex":0},"schema":"https://github.com/citation-style-language/schema/raw/master/csl-citation.json"}</w:instrText>
      </w:r>
      <w:r w:rsidR="0029677C">
        <w:rPr>
          <w:rFonts w:ascii="Times New Roman" w:hAnsi="Times New Roman" w:cs="Times New Roman"/>
        </w:rPr>
        <w:fldChar w:fldCharType="separate"/>
      </w:r>
      <w:r w:rsidR="000475DF" w:rsidRPr="000475DF">
        <w:rPr>
          <w:rFonts w:ascii="Times New Roman" w:hAnsi="Times New Roman" w:cs="Times New Roman"/>
          <w:noProof/>
          <w:vertAlign w:val="superscript"/>
        </w:rPr>
        <w:t>30</w:t>
      </w:r>
      <w:r w:rsidR="0029677C">
        <w:rPr>
          <w:rFonts w:ascii="Times New Roman" w:hAnsi="Times New Roman" w:cs="Times New Roman"/>
        </w:rPr>
        <w:fldChar w:fldCharType="end"/>
      </w:r>
      <w:r w:rsidRPr="00AE0186">
        <w:rPr>
          <w:rFonts w:ascii="Times New Roman" w:hAnsi="Times New Roman" w:cs="Times New Roman"/>
        </w:rPr>
        <w:t xml:space="preserve">. Tissue hypoxia is associated with malignant progression, metastatic potential, angiogenesis and increased interstitial fluid pressure (IFP) </w:t>
      </w:r>
      <w:r w:rsidR="0029677C">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{"citationItems":[{"id":"ITEM-1","itemData":{"DOI":"10.1148/rg.317115108","ISBN":"0271-5333","ISSN":"0271-5333","PMID":"22084189","abstract":"Targeted therapies are designed to interfere with specific aberrant biologic pathways involved in tumor development. The main classes of novel oncologic drugs include antiangiogenic drugs, antivascular agents, drugs interfering with EGFR-HER2 or KIT receptors, inhibitors of the PI3K/Akt/mTOR pathway, and hormonal therapies. Cancer cells usurp normal signal transduction pathways used by growth factors to stimulate proliferation and sustain viability. The interaction of growth factors with their receptors activates different intracellular pathways affecting key tumor biologic processes such as neoangiogenesis, tumor metabolism, and tumor proliferation. The response of tumors to anticancer therapy can be evaluated with anatomic response assessment, qualitative response assessment, and response assessment with functional and molecular imaging. Angiogenesis can be measured by means of perfusion imaging with computed tomography and magnetic resonance (MR) imaging. Diffusion-weighted MR imaging allows imaging evaluation of tumor cellularity. The main imaging techniques for studying tumor metabolism in vivo are positron emission tomography and MR spectroscopy. Familiarity with imaging findings secondary to tumor response to targeted therapies may help the radiologist better assist the clinician in accurate evaluation of tumor response to these anticancer treatments. Functional and molecular imaging techniques may provide valuable data and augment conventional assessment of tumor response to targeted therapies. Supplemental material available at http://radiographics.rsna.org/lookup/suppl/doi:10.1148/rg.317115108/-/DC1.","author":[{"dropping-particle":"","family":"Figueiras","given":"Roberto García","non-dropping-particle":"","parse-names":false,"suffix":""},{"dropping-particle":"","family":"Padhani","given":"Anwar R.","non-dropping-particle":"","parse-names":false,"suffix":""},{"dropping-particle":"","family":"Goh","given":"Vicky J.","non-dropping-particle":"","parse-names":false,"suffix":""},{"dropping-particle":"","family":"Vilanova","given":"Joan C.","non-dropping-particle":"","parse-names":false,"suffix":""},{"dropping-particle":"","family":"Gonzalez","given":"S. B.","non-dropping-particle":"","parse-names":false,"suffix":""},{"dropping-particle":"V.","family":"Martin","given":"C.","non-dropping-particle":"","parse-names":false,"suffix":""},{"dropping-particle":"","family":"Caamano","given":"a. G.","non-dropping-particle":"","parse-names":false,"suffix":""},{"dropping-particle":"","family":"Naveira","given":"Anaberta Bermúdez","non-dropping-particle":"","parse-names":false,"suffix":""},{"dropping-particle":"","family":"Choyke","given":"Peter L.","non-dropping-particle":"","parse-names":false,"suffix":""}],"container-title":"Radiographics","id":"ITEM-1","issue":"7","issued":{"date-parts":[["2011"]]},"page":"2059-2091","title":"Novel Oncologic Drugs: What They Do and How They Affect Images","type":"article-journal","volume":"31"},"uris":["http://www.mendeley.com/documents/?uuid=f607ba6d-2282-4fb8-a0a6-dc677103567e"]},{"id":"ITEM-2","itemData":{"DOI":"10.1200/JCO.2012.46.3653","ISBN":"1527-7755 (Electronic)\\r0732-183X (Linking)","ISSN":"15277755","PMID":"23669226","abstract":"For almost four decades, my work has focused on one challenge: improving the delivery and efficacy of anticancer therapeutics. Working on the hypothesis that the abnormal tumor microenvironment-characterized by hypoxia and high interstitial fluid pressure--fuels tumor progression and treatment resistance, we developed an array of sophisticated imaging technologies and animal models as well as mathematic models to unravel the complex biology of tumors. Using these tools, we demonstrated that the blood and lymphatic vasculature, fibroblasts, immune cells, and extracellular matrix associated with tumors are abnormal, which together create a hostile tumor microenvironment. We next hypothesized that agents that induce normalization of the microenvironment can improve treatment outcome. Indeed, we demonstrated that judicious use of antiangiogenic agents--originally designed to starve tumors--could transiently normalize tumor vasculature, alleviate hypoxia, increase delivery of drugs and antitumor immune cells, and improve the outcome of various therapies. Our trials of antiangiogenics in patients with newly diagnosed and recurrent glioblastoma supported this concept. They revealed that patients whose tumor blood perfusion increased in response to cediranib survived 6 to 9 months longer than those whose blood perfusion did not increase. The normalization hypothesis also opened doors to treating various nonmalignant diseases characterized by abnormal vasculature, such as neurofibromatosis type 2. More recently, we discovered that antifibrosis drugs capable of normalizing the tumor microenvironment can improve the delivery and efficacy of nano- and molecular medicines. Our current efforts are directed at identifying predictive biomarkers and more-effective strategies to normalize the tumor microenvironment for enhancing anticancer therapies.","author":[{"dropping-particle":"","family":"Jain","given":"Rakesh K.","non-dropping-particle":"","parse-names":false,"suffix":""}],"container-title":"Journal of Clinical Oncology","id":"ITEM-2","issue":"17","issued":{"date-parts":[["2013"]]},"page":"2205-2218","title":"Normalizing tumor microenvironment to treat cancer: Bench to bedside to biomarkers","type":"article-journal","volume":"31"},"uris":["http://www.mendeley.com/documents/?uuid=6c81c3e3-add2-4b22-96ec-8e0e2fda8f26"]},{"id":"ITEM-3","itemData":{"DOI":"10.1073/pnas.0901807106","ISBN":"0027-8424","ISSN":"1091-6490","PMID":"19366661","abstract":"Noninvasive or minimally invasive prediction of tumor metastatic potential would facilitate individualized cancer management. Studies were performed on a panel of human melanoma xenografts that spanned the full range of metastatic potential measured by an in vivo lung colony assay and an in vitro membrane invasion culture system. Three imaging methods potentially transferable to the clinic [dynamic contrast-enhanced (DCE) MRI, T(1(rho))-MRI, and low-temperature fluorescence imaging (measurable on biopsy specimens)] distinguished between relatively less metastatic and more metastatic human melanoma xenografts in nude mice. DCE-MRI, analyzed with the shutter-speed relaxometric algorithm and using an arterial input function simultaneously measured in the left ventricle of the mouse heart, yielded a blood transfer rate constant, K(trans), that measures vascular perfusion/permeability. K(trans) was significantly higher in the core of the least metastatic melanoma (A375P) than in the core of the most metastatic melanoma (C8161). C8161 melanoma had more blood vascular structures but fewer functional blood vessels than A375P melanoma. The A375P melanoma exhibited mean T(1(rho)) values that were significantly higher than those of C8161 melanoma. Measurements of T(1) and T(2) relaxation times did not differ significantly between these 2 melanomas. The mitochondrial redox ratio, Fp/(Fp + NADH), where Fp and NADH are the fluorescences of oxidized flavoproteins and reduced pyridine nucleotides, respectively, varied linearly with the in vitro invasive potential of the 5 melanoma cell lines (A375P, A375M, A375P10, A375P5, and C8161). This study shows that a harsh microenvironment may promote melanoma metastasis and provides potential biomarkers of metastatic potential.","author":[{"dropping-particle":"","family":"Li","given":"Lin Z","non-dropping-particle":"","parse-names":false,"suffix":""},{"dropping-particle":"","family":"Zhou","given":"Rong","non-dropping-particle":"","parse-names":false,"suffix":""},{"dropping-particle":"","family":"Xu","given":"He N","non-dropping-particle":"","parse-names":false,"suffix":""},{"dropping-particle":"","family":"Moon","given":"Lily","non-dropping-particle":"","parse-names":false,"suffix":""},{"dropping-particle":"","family":"Zhong","given":"Tuoxiu","non-dropping-particle":"","parse-names":false,"suffix":""},{"dropping-particle":"","family":"Kim","given":"Eun Ju","non-dropping-particle":"","parse-names":false,"suffix":""},{"dropping-particle":"","family":"Qiao","given":"Hui","non-dropping-particle":"","parse-names":false,"suffix":""},{"dropping-particle":"","family":"Reddy","given":"Ravinder","non-dropping-particle":"","parse-names":false,"suffix":""},{"dropping-particle":"","family":"Leeper","given":"Dennis","non-dropping-particle":"","parse-names":false,"suffix":""},{"dropping-particle":"","family":"Chance","given":"Britton","non-dropping-particle":"","parse-names":false,"suffix":""},{"dropping-particle":"","family":"Glickson","given":"Jerry D","non-dropping-particle":"","parse-names":false,"suffix":""}],"container-title":"Proceedings of the National Academy of Sciences of the United States of America","id":"ITEM-3","issue":"16","issued":{"date-parts":[["2009"]]},"page":"6608-6613","title":"Quantitative magnetic resonance and optical imaging biomarkers of melanoma metastatic potential.","type":"article-journal","volume":"106"},"uris":["http://www.mendeley.com/documents/?uuid=bc7fa888-30d5-4b33-8c31-1897d528d9db"]}],"mendeley":{"formattedCitation":"&lt;sup&gt;1,29,31&lt;/sup&gt;","plainTextFormattedCitation":"1,29,31","previouslyFormattedCitation":"&lt;sup&gt;1,29,31&lt;/sup&gt;"},"properties":{"noteIndex":0},"schema":"https://github.com/citation-style-language/schema/raw/master/csl-citation.json"}</w:instrText>
      </w:r>
      <w:r w:rsidR="0029677C">
        <w:rPr>
          <w:rFonts w:ascii="Times New Roman" w:hAnsi="Times New Roman" w:cs="Times New Roman"/>
        </w:rPr>
        <w:fldChar w:fldCharType="separate"/>
      </w:r>
      <w:r w:rsidR="000475DF" w:rsidRPr="000475DF">
        <w:rPr>
          <w:rFonts w:ascii="Times New Roman" w:hAnsi="Times New Roman" w:cs="Times New Roman"/>
          <w:noProof/>
          <w:vertAlign w:val="superscript"/>
        </w:rPr>
        <w:t>1,29,31</w:t>
      </w:r>
      <w:r w:rsidR="0029677C">
        <w:rPr>
          <w:rFonts w:ascii="Times New Roman" w:hAnsi="Times New Roman" w:cs="Times New Roman"/>
        </w:rPr>
        <w:fldChar w:fldCharType="end"/>
      </w:r>
      <w:r w:rsidRPr="00AE0186">
        <w:rPr>
          <w:rFonts w:ascii="Times New Roman" w:hAnsi="Times New Roman" w:cs="Times New Roman"/>
        </w:rPr>
        <w:t xml:space="preserve">, which makes </w:t>
      </w:r>
      <w:r w:rsidRPr="00AE0186">
        <w:rPr>
          <w:rFonts w:ascii="Times New Roman" w:hAnsi="Times New Roman" w:cs="Times New Roman"/>
          <w:i/>
        </w:rPr>
        <w:t>IS</w:t>
      </w:r>
      <w:r w:rsidRPr="00AE0186">
        <w:rPr>
          <w:rFonts w:ascii="Times New Roman" w:hAnsi="Times New Roman" w:cs="Times New Roman"/>
        </w:rPr>
        <w:t xml:space="preserve"> a highly interesting, non-invasive biomarker for tumour response assessment. </w:t>
      </w:r>
    </w:p>
    <w:p w14:paraId="66EB4E3F"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In general, the power of linear models of the functional DCE-MRI parameters (</w:t>
      </w:r>
      <w:r w:rsidRPr="00AE0186">
        <w:rPr>
          <w:rFonts w:ascii="Times New Roman" w:hAnsi="Times New Roman" w:cs="Times New Roman"/>
          <w:i/>
        </w:rPr>
        <w:t>TOP, TTP, BE, IS</w:t>
      </w:r>
      <w:r w:rsidRPr="00AE0186">
        <w:rPr>
          <w:rFonts w:ascii="Times New Roman" w:hAnsi="Times New Roman" w:cs="Times New Roman"/>
        </w:rPr>
        <w:t>) to predict histological indices was relatively high (</w:t>
      </w:r>
      <w:r w:rsidR="008070BF">
        <w:rPr>
          <w:rFonts w:ascii="Times New Roman" w:hAnsi="Times New Roman" w:cs="Times New Roman"/>
        </w:rPr>
        <w:t>Figure 5</w:t>
      </w:r>
      <w:r w:rsidRPr="00AE0186">
        <w:rPr>
          <w:rFonts w:ascii="Times New Roman" w:hAnsi="Times New Roman" w:cs="Times New Roman"/>
        </w:rPr>
        <w:t>), which supports the assumption of fairly linear relationships. Furthermore, the cluster analysis (</w:t>
      </w:r>
      <w:r w:rsidR="008070BF">
        <w:rPr>
          <w:rFonts w:ascii="Times New Roman" w:hAnsi="Times New Roman" w:cs="Times New Roman"/>
        </w:rPr>
        <w:t>Figure 7</w:t>
      </w:r>
      <w:r w:rsidRPr="00AE0186">
        <w:rPr>
          <w:rFonts w:ascii="Times New Roman" w:hAnsi="Times New Roman" w:cs="Times New Roman"/>
        </w:rPr>
        <w:t>) shows that the parameters contain relatively unique information within the largest DCE-MRI cluster (</w:t>
      </w:r>
      <w:r w:rsidRPr="00AE0186">
        <w:rPr>
          <w:rFonts w:ascii="Times New Roman" w:hAnsi="Times New Roman" w:cs="Times New Roman"/>
          <w:i/>
        </w:rPr>
        <w:t>AT</w:t>
      </w:r>
      <w:r w:rsidRPr="00AE0186">
        <w:rPr>
          <w:rFonts w:ascii="Times New Roman" w:hAnsi="Times New Roman" w:cs="Times New Roman"/>
        </w:rPr>
        <w:t xml:space="preserve"> and left, </w:t>
      </w:r>
      <w:r w:rsidR="008070BF">
        <w:rPr>
          <w:rFonts w:ascii="Times New Roman" w:hAnsi="Times New Roman" w:cs="Times New Roman"/>
        </w:rPr>
        <w:t>Figure 7</w:t>
      </w:r>
      <w:r w:rsidRPr="00AE0186">
        <w:rPr>
          <w:rFonts w:ascii="Times New Roman" w:hAnsi="Times New Roman" w:cs="Times New Roman"/>
        </w:rPr>
        <w:t>), which underlines the importance of extracting multiparametric information in evaluations of tumour tissue.</w:t>
      </w:r>
    </w:p>
    <w:p w14:paraId="6C25C211" w14:textId="382CF165"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Tissue</w:t>
      </w:r>
      <w:r w:rsidRPr="00AE0186">
        <w:rPr>
          <w:rFonts w:ascii="Times New Roman" w:hAnsi="Times New Roman" w:cs="Times New Roman"/>
          <w:i/>
        </w:rPr>
        <w:t xml:space="preserve"> T1</w:t>
      </w:r>
      <w:r w:rsidRPr="00AE0186">
        <w:rPr>
          <w:rFonts w:ascii="Times New Roman" w:hAnsi="Times New Roman" w:cs="Times New Roman"/>
        </w:rPr>
        <w:t xml:space="preserve"> was negatively correlated with both MVD and Ki67count (</w:t>
      </w:r>
      <w:r w:rsidR="008070BF">
        <w:rPr>
          <w:rFonts w:ascii="Times New Roman" w:hAnsi="Times New Roman" w:cs="Times New Roman"/>
        </w:rPr>
        <w:t>Figure 6</w:t>
      </w:r>
      <w:r w:rsidRPr="00AE0186">
        <w:rPr>
          <w:rFonts w:ascii="Times New Roman" w:hAnsi="Times New Roman" w:cs="Times New Roman"/>
        </w:rPr>
        <w:t xml:space="preserve">). </w:t>
      </w:r>
      <w:r w:rsidRPr="00AE0186">
        <w:rPr>
          <w:rFonts w:ascii="Times New Roman" w:hAnsi="Times New Roman" w:cs="Times New Roman"/>
          <w:i/>
        </w:rPr>
        <w:t>T1</w:t>
      </w:r>
      <w:r w:rsidRPr="00AE0186">
        <w:rPr>
          <w:rFonts w:ascii="Times New Roman" w:hAnsi="Times New Roman" w:cs="Times New Roman"/>
        </w:rPr>
        <w:t xml:space="preserve"> is sensitive to the presence of macromolecular concentrations, and increased MVD is often associated with angiogenesis and high microvascular permeability in tumours </w:t>
      </w:r>
      <w:r w:rsidR="0029677C">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{"citationItems":[{"id":"ITEM-1","itemData":{"DOI":"10.1002/(SICI)1522-2586(199909)10:3&lt;260::AID-JMRI6&gt;3.0.CO;2-7","ISBN":"1053-1807 (Print)\\r1053-1807 (Linking)","ISSN":"10531807","PMID":"10508285","abstract":"While the diagnostic benefits of gadolinium (Gd)-chelate contrast agents are firmly established in magnetic resonance imaging (MRI) of tumors, the pathophysiologic basis of the enhancement observed and its histopathologic correlate remained vague. Tumor angiogenesis is fundamental for growth and metastasis and also of interest in new therapeutic concepts. By correlative analysis of a) histology; b) vascular density (CD31); and c) vascular permeability (vascular permeability factor/vascular endothelial growth factor [VPF/VEGF]), we found a) significantly (P &lt; 0.001) faster exchange rates in malignant compared with benign breast lesions; b) distinct differences in enhancement characteristics between the histologic types (invasive ductal carcinoma, invasive lobular carcinoma, and ductal carcinoma in situ); and c) dependence of enhancement kinetics on the VPF/VEGF expression. The pathophysiologic basis for the differences in contrast enhancement patterns of tumors detectable by MRI is mainly due to vascular permeability, which leads to more characteristic differences than vascular density. MRI is able to subclassify malignant breast tumors due to their different angiogenetic properties.","author":[{"dropping-particle":"V.","family":"Knopp","given":"M.","non-dropping-particle":"","parse-names":false,"suffix":""},{"dropping-particle":"","family":"Weiss","given":"E.","non-dropping-particle":"","parse-names":false,"suffix":""},{"dropping-particle":"","family":"Sinn","given":"H. P.","non-dropping-particle":"","parse-names":false,"suffix":""},{"dropping-particle":"","family":"Mattern","given":"J.","non-dropping-particle":"","parse-names":false,"suffix":""},{"dropping-particle":"","family":"Junkermann","given":"H.","non-dropping-particle":"","parse-names":false,"suffix":""},{"dropping-particle":"","family":"Radeleff","given":"J.","non-dropping-particle":"","parse-names":false,"suffix":""},{"dropping-particle":"","family":"Magener","given":"A.","non-dropping-particle":"","parse-names":false,"suffix":""},{"dropping-particle":"","family":"Brix","given":"G.","non-dropping-particle":"","parse-names":false,"suffix":""},{"dropping-particle":"","family":"Delorme","given":"S.","non-dropping-particle":"","parse-names":false,"suffix":""},{"dropping-particle":"","family":"Zuna","given":"I.","non-dropping-particle":"","parse-names":false,"suffix":""},{"dropping-particle":"","family":"Kaick","given":"G.","non-dropping-particle":"Van","parse-names":false,"suffix":""}],"container-title":"Journal of Magnetic Resonance Imaging","id":"ITEM-1","issue":"3","issued":{"date-parts":[["1999"]]},"page":"260-266","title":"Pathophysiologic basis of contrast enhancement in breast tumors","type":"article-journal","volume":"10"},"uris":["http://www.mendeley.com/documents/?uuid=b9be76d7-0625-418c-8342-7122fc86e3b9"]},{"id":"ITEM-2","itemData":{"DOI":"10.1007/s10549-016-3680-8","ISBN":"1573-7217","ISSN":"15737217","PMID":"26791520","abstract":"To employ in vivo imaging and histological techniques to identify and quantify vascular changes early in the course of treatment with trastuzumab in a murine model of HER2+ breast cancer. Dynamic contrast-enhanced magnetic resonance imaging (DCE-MRI) was used to quantitatively characterize vessel perfusion/permeability (via the parameter K (trans) ) and the extravascular extracellular volume fraction (v e ) in the BT474 mouse model of HER2+ breast cancer (N = 20) at baseline, day one, and day four following trastuzumab treatment (10 mg/kg). Additional cohorts of mice were used to quantify proliferation (Ki67), microvessel density (CD31), pericyte coverage (alpha-SMA) by immunohistochemistry (N = 44), and to quantify human VEGF-A expression (N = 29) throughout the course of therapy. Longitudinal assessment of combination doxorubicin +/- trastuzumab (N = 42) tested the hypothesis that prior treatment with trastuzumab will increase the efficacy of subsequent doxorubicin therapy. Compared to control tumors, trastuzumab-treated tumors exhibited a significant increase in K (trans) (P = 0.035) on day four, indicating increased perfusion and/or vessel permeability and a simultaneous significant increase in v e (P = 0.01), indicating increased cell death. Immunohistochemical and ELISA analyses revealed that by day four the trastuzumab-treated tumors had a significant increase in vessel maturation index (i.e., the ratio of alpha-SMA to CD31 staining) compared to controls (P &lt; 0.001) and a significant decrease in VEGF-A (P = 0.03). Additionally, trastuzumab dosing prior to doxorubicin improved the overall effectiveness of the therapies (P &lt; 0.001). This study identifies and validates improved perfusion characteristics following trastuzumab therapy, resulting in an improvement in trastuzumab-doxorubicin combination therapy in a murine model of HER2+ breast cancer. This data suggests properties of vessel maturation. In particular, the use of DCE-MRI, a clinically available imaging method, following treatment with trastuzumab may provide an opportunity to optimize the scheduling and improve delivery of subsequent cytotoxic therapy.","author":[{"dropping-particle":"","family":"Sorace","given":"Anna G.","non-dropping-particle":"","parse-names":false,"suffix":""},{"dropping-particle":"","family":"Quarles","given":"C. Chad","non-dropping-particle":"","parse-names":false,"suffix":""},{"dropping-particle":"","family":"Whisenant","given":"Jennifer G.","non-dropping-particle":"","parse-names":false,"suffix":""},{"dropping-particle":"","family":"Hanker","given":"Ariella B.","non-dropping-particle":"","parse-names":false,"suffix":""},{"dropping-particle":"","family":"McIntyre","given":"J. Oliver","non-dropping-particle":"","parse-names":false,"suffix":""},{"dropping-particle":"","family":"Sanchez","given":"Violeta M.","non-dropping-particle":"","parse-names":false,"suffix":""},{"dropping-particle":"","family":"Yankeelov","given":"Thomas E.","non-dropping-particle":"","parse-names":false,"suffix":""}],"container-title":"Breast Cancer Research and Treatment","id":"ITEM-2","issue":"2","issued":{"date-parts":[["2016"]]},"page":"273-284","publisher":"Springer US","title":"Trastuzumab improves tumor perfusion and vascular delivery of cytotoxic therapy in a murine model of HER2+ breast cancer: preliminary results","type":"article-journal","volume":"155"},"uris":["http://www.mendeley.com/documents/?uuid=45e5835b-2f42-4202-aed4-d7442b60d0ac"]},{"id":"ITEM-3","itemData":{"DOI":"10.1148/radiol.11103515","ISBN":"1527-1315 (Electronic)\\n0033-8419 (Linking)","ISSN":"1527-1315","PMID":"21852570","abstract":"Quantitative DCE MR parameters, derived from pharmacokinetic models in malignant and benign pancreatic solid lesions and nontumoral pancreatic tissue, were significantly correlated with fibrosis and MVD. Supplemental material: http://radiology.rsna.org/lookup/suppl/doi:10.1148/radiol.11103515/-/DC1.","author":[{"dropping-particle":"","family":"Bali","given":"M A","non-dropping-particle":"","parse-names":false,"suffix":""},{"dropping-particle":"","family":"Metens","given":"T","non-dropping-particle":"","parse-names":false,"suffix":""},{"dropping-particle":"","family":"Denolin","given":"V","non-dropping-particle":"","parse-names":false,"suffix":""},{"dropping-particle":"","family":"Delhaye","given":"M","non-dropping-particle":"","parse-names":false,"suffix":""},{"dropping-particle":"","family":"Demetter","given":"P","non-dropping-particle":"","parse-names":false,"suffix":""},{"dropping-particle":"","family":"Closset","given":"J","non-dropping-particle":"","parse-names":false,"suffix":""},{"dropping-particle":"","family":"Matos","given":"C","non-dropping-particle":"","parse-names":false,"suffix":""}],"container-title":"Radiology","id":"ITEM-3","issue":"2","issued":{"date-parts":[["2011"]]},"page":"456-466","title":"Tumoral and nontumoral pancreas: correlation between quantitative dynamic contrast-enhanced MR imaging and histopathologic parameters","type":"article-journal","volume":"261"},"uris":["http://www.mendeley.com/documents/?uuid=68be682b-7c85-464f-820b-c870387b1085","http://www.mendeley.com/documents/?uuid=bc4bfe5a-4375-4c9a-ad2a-65992c5bc716"]}],"mendeley":{"formattedCitation":"&lt;sup&gt;32–34&lt;/sup&gt;","plainTextFormattedCitation":"32–34","previouslyFormattedCitation":"&lt;sup&gt;32–34&lt;/sup&gt;"},"properties":{"noteIndex":0},"schema":"https://github.com/citation-style-language/schema/raw/master/csl-citation.json"}</w:instrText>
      </w:r>
      <w:r w:rsidR="0029677C">
        <w:rPr>
          <w:rFonts w:ascii="Times New Roman" w:hAnsi="Times New Roman" w:cs="Times New Roman"/>
        </w:rPr>
        <w:fldChar w:fldCharType="separate"/>
      </w:r>
      <w:r w:rsidR="000475DF" w:rsidRPr="000475DF">
        <w:rPr>
          <w:rFonts w:ascii="Times New Roman" w:hAnsi="Times New Roman" w:cs="Times New Roman"/>
          <w:noProof/>
          <w:vertAlign w:val="superscript"/>
        </w:rPr>
        <w:t>32–34</w:t>
      </w:r>
      <w:r w:rsidR="0029677C">
        <w:rPr>
          <w:rFonts w:ascii="Times New Roman" w:hAnsi="Times New Roman" w:cs="Times New Roman"/>
        </w:rPr>
        <w:fldChar w:fldCharType="end"/>
      </w:r>
      <w:r w:rsidRPr="00AE0186">
        <w:rPr>
          <w:rFonts w:ascii="Times New Roman" w:hAnsi="Times New Roman" w:cs="Times New Roman"/>
        </w:rPr>
        <w:t xml:space="preserve">. Plasma proteins leaking into the EES and accumulating due to inadequate lymphatic drainage may thus have reduced </w:t>
      </w:r>
      <w:r w:rsidRPr="00AE0186">
        <w:rPr>
          <w:rFonts w:ascii="Times New Roman" w:hAnsi="Times New Roman" w:cs="Times New Roman"/>
          <w:i/>
        </w:rPr>
        <w:t>T1</w:t>
      </w:r>
      <w:r w:rsidRPr="00AE0186">
        <w:rPr>
          <w:rFonts w:ascii="Times New Roman" w:hAnsi="Times New Roman" w:cs="Times New Roman"/>
        </w:rPr>
        <w:t xml:space="preserve">, as well as the increased biosynthesis of macromolecules related to proliferation. This agrees with the increased </w:t>
      </w:r>
      <w:r w:rsidRPr="00AE0186">
        <w:rPr>
          <w:rFonts w:ascii="Times New Roman" w:hAnsi="Times New Roman" w:cs="Times New Roman"/>
          <w:i/>
        </w:rPr>
        <w:t>T1</w:t>
      </w:r>
      <w:r w:rsidRPr="00AE0186">
        <w:rPr>
          <w:rFonts w:ascii="Times New Roman" w:hAnsi="Times New Roman" w:cs="Times New Roman"/>
        </w:rPr>
        <w:t xml:space="preserve"> that has been observed after anti-angiogenic drug-induced vascular normalizing </w:t>
      </w:r>
      <w:r w:rsidR="0029677C">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{"citationItems":[{"id":"ITEM-1","itemData":{"DOI":"10.1371/journal.pone.0131095","ISBN":"1932-6203 (Electronic)\\r1932-6203 (Linking)","ISSN":"1932-6203","PMID":"26098849","abstract":"PURPOSE To assess whether T1 relaxation time of tumors may be used to assess response to bevacizumab anti-angiogenic therapy. PROCEDURES 12 female nude mice bearing subcutaneous SKOV3ip1-LC ovarian tumors were administered bevacizumab (6.25ug/g, n=6) or PBS (control, n=6) therapy twice a week for two weeks. T1 maps of tumors were generated before, two days, and 2 weeks after initiating therapy. Tumor weight was assessed by MR and at necropsy. Histology for microvessel density, proliferation, and apoptosis was performed. RESULTS Bevacizumab treatment resulted in tumor growth inhibition (p&lt;0.04, n=6), confirming therapeutic efficacy. Tumor T1 relaxation times increased in bevacizumab treated mice 2 days and 2 weeks after initiating therapy (p&lt;.05, n=6). Microvessel density decreased 59% and cell proliferation (Ki67+) decreased 50% in the bevacizumab treatment group (p&lt;.001, n=6), but not apoptosis. CONCLUSIONS Findings suggest that increased tumor T1 relaxation time is associated with response to bevacizumab therapy in ovarian cancer model and might serve as an early indicator of response.","author":[{"dropping-particle":"","family":"Ravoori","given":"Murali K","non-dropping-particle":"","parse-names":false,"suffix":""},{"dropping-particle":"","family":"Nishimura","given":"Masato","non-dropping-particle":"","parse-names":false,"suffix":""},{"dropping-particle":"","family":"Singh","given":"Sheela P","non-dropping-particle":"","parse-names":false,"suffix":""},{"dropping-particle":"","family":"Lu","given":"Chunhua","non-dropping-particle":"","parse-names":false,"suffix":""},{"dropping-particle":"","family":"Han","given":"Lin","non-dropping-particle":"","parse-names":false,"suffix":""},{"dropping-particle":"","family":"Hobbs","given":"Brian P","non-dropping-particle":"","parse-names":false,"suffix":""},{"dropping-particle":"","family":"Pradeep","given":"Sunila","non-dropping-particle":"","parse-names":false,"suffix":""},{"dropping-particle":"","family":"Choi","given":"Hyun J","non-dropping-particle":"","parse-names":false,"suffix":""},{"dropping-particle":"","family":"Bankson","given":"James A","non-dropping-particle":"","parse-names":false,"suffix":""},{"dropping-particle":"","family":"Sood","given":"Anil K","non-dropping-particle":"","parse-names":false,"suffix":""},{"dropping-particle":"","family":"Kundra","given":"Vikas","non-dropping-particle":"","parse-names":false,"suffix":""}],"container-title":"PloS one","id":"ITEM-1","issue":"6","issued":{"date-parts":[["2015"]]},"page":"e0131095","title":"Tumor T1 Relaxation Time for Assessing Response to Bevacizumab Anti-Angiogenic Therapy in a Mouse Ovarian Cancer Model.","type":"article-journal","volume":"10"},"uris":["http://www.mendeley.com/documents/?uuid=3692677e-3598-454c-8e99-62a9386bdc46"]},{"id":"ITEM-2","itemData":{"DOI":"10.1200/JCO.2012.46.3653","ISBN":"1527-7755 (Electronic)\\r0732-183X (Linking)","ISSN":"15277755","PMID":"23669226","abstract":"For almost four decades, my work has focused on one challenge: improving the delivery and efficacy of anticancer therapeutics. Working on the hypothesis that the abnormal tumor microenvironment-characterized by hypoxia and high interstitial fluid pressure--fuels tumor progression and treatment resistance, we developed an array of sophisticated imaging technologies and animal models as well as mathematic models to unravel the complex biology of tumors. Using these tools, we demonstrated that the blood and lymphatic vasculature, fibroblasts, immune cells, and extracellular matrix associated with tumors are abnormal, which together create a hostile tumor microenvironment. We next hypothesized that agents that induce normalization of the microenvironment can improve treatment outcome. Indeed, we demonstrated that judicious use of antiangiogenic agents--originally designed to starve tumors--could transiently normalize tumor vasculature, alleviate hypoxia, increase delivery of drugs and antitumor immune cells, and improve the outcome of various therapies. Our trials of antiangiogenics in patients with newly diagnosed and recurrent glioblastoma supported this concept. They revealed that patients whose tumor blood perfusion increased in response to cediranib survived 6 to 9 months longer than those whose blood perfusion did not increase. The normalization hypothesis also opened doors to treating various nonmalignant diseases characterized by abnormal vasculature, such as neurofibromatosis type 2. More recently, we discovered that antifibrosis drugs capable of normalizing the tumor microenvironment can improve the delivery and efficacy of nano- and molecular medicines. Our current efforts are directed at identifying predictive biomarkers and more-effective strategies to normalize the tumor microenvironment for enhancing anticancer therapies.","author":[{"dropping-particle":"","family":"Jain","given":"Rakesh K.","non-dropping-particle":"","parse-names":false,"suffix":""}],"container-title":"Journal of Clinical Oncology","id":"ITEM-2","issue":"17","issued":{"date-parts":[["2013"]]},"page":"2205-2218","title":"Normalizing tumor microenvironment to treat cancer: Bench to bedside to biomarkers","type":"article-journal","volume":"31"},"uris":["http://www.mendeley.com/documents/?uuid=6c81c3e3-add2-4b22-96ec-8e0e2fda8f26"]},{"id":"ITEM-3","itemData":{"DOI":"10.1007/s00234-014-1445-9","ISBN":"0028-3940","ISSN":"14321920","PMID":"25287076","abstract":"INTRODUCTION: Treatment with the humanized anti-vascular endothelial growth factor (VEGF) antibody bevacizumab in glioblastoma patients suppresses contrast enhancement via the reduction of vascular permeability, which does not necessarily indicate real reduction of tumor cell mass. Therefore, other imaging criteria are needed to recognize tumor growth under bevacizumab more reliably. It is still unknown, whether quantitative T1 mapping is useful to monitor the effects of anti-angiogenic therapy or to indicate a tumor progression earlier and more reliable compared to conventional magnetic resonance imaging (MRI) sequences. This raised the question whether quantitative T1 mapping is more suitable to monitor treatment effects of bevacizumab.\\n\\nMETHODS: Conventional and quantitative MRI was performed on six consecutive patients with recurrent glioblastoma before treatment with bevacizumab and every 8 weeks thereafter until further tumor progression. Quantitative T1 maps before and after intravenous application of contrast agent and quantitative T2 maps were performed to calculate serial differential maps and subtraction maps from one time point, subtracting contrast-enhanced T1 maps from non-contrast T1 maps.\\n\\nRESULTS: In five illustrative cases, tumor progression was documented earlier in differential T1 relaxation time (DiffT1) and T2 relaxation time (DiffT2) maps before changes in the conventional MRI studies were obvious. Four patients showed previous prolongation of T1 relaxation time in the DiffT1 maps, suggesting tumor progression, and subtraction maps revealed faint contrast enhancement matching with the areas of T1 prolongation.\\n\\nCONCLUSION: Our results emphasize that quantitative relaxation time mapping could be a promising method for tumor monitoring in glioblastoma patients under anti-angiogenic therapy. Quantitative T1 mapping seems to detect enhancing tumor earlier than conventional contrast-enhanced T1-weighted images.","author":[{"dropping-particle":"","family":"Lescher","given":"Stephanie","non-dropping-particle":"","parse-names":false,"suffix":""},{"dropping-particle":"","family":"Jurcoane","given":"Alina","non-dropping-particle":"","parse-names":false,"suffix":""},{"dropping-particle":"","family":"Veit","given":"Andreas","non-dropping-particle":"","parse-names":false,"suffix":""},{"dropping-particle":"","family":"Bähr","given":"Oliver","non-dropping-particle":"","parse-names":false,"suffix":""},{"dropping-particle":"","family":"Deichmann","given":"Ralf","non-dropping-particle":"","parse-names":false,"suffix":""},{"dropping-particle":"","family":"Hattingen","given":"Elke","non-dropping-particle":"","parse-names":false,"suffix":""}],"container-title":"Neuroradiology","id":"ITEM-3","issue":"1","issued":{"date-parts":[["2014"]]},"page":"11-20","title":"Quantitative T1 and T2 mapping in recurrent glioblastomas under bevacizumab: earlier detection of tumor progression compared to conventional MRI","type":"article-journal","volume":"57"},"uris":["http://www.mendeley.com/documents/?uuid=8c1bf2f3-d5f5-4af5-91f9-141757eeea7a"]}],"mendeley":{"formattedCitation":"&lt;sup&gt;7,31,35&lt;/sup&gt;","plainTextFormattedCitation":"7,31,35","previouslyFormattedCitation":"&lt;sup&gt;7,31,35&lt;/sup&gt;"},"properties":{"noteIndex":0},"schema":"https://github.com/citation-style-language/schema/raw/master/csl-citation.json"}</w:instrText>
      </w:r>
      <w:r w:rsidR="0029677C">
        <w:rPr>
          <w:rFonts w:ascii="Times New Roman" w:hAnsi="Times New Roman" w:cs="Times New Roman"/>
        </w:rPr>
        <w:fldChar w:fldCharType="separate"/>
      </w:r>
      <w:r w:rsidR="00A17C25" w:rsidRPr="00A17C25">
        <w:rPr>
          <w:rFonts w:ascii="Times New Roman" w:hAnsi="Times New Roman" w:cs="Times New Roman"/>
          <w:noProof/>
          <w:vertAlign w:val="superscript"/>
        </w:rPr>
        <w:t>7,31,35</w:t>
      </w:r>
      <w:r w:rsidR="0029677C">
        <w:rPr>
          <w:rFonts w:ascii="Times New Roman" w:hAnsi="Times New Roman" w:cs="Times New Roman"/>
        </w:rPr>
        <w:fldChar w:fldCharType="end"/>
      </w:r>
      <w:r w:rsidRPr="00AE0186">
        <w:rPr>
          <w:rFonts w:ascii="Times New Roman" w:hAnsi="Times New Roman" w:cs="Times New Roman"/>
        </w:rPr>
        <w:t xml:space="preserve">. For example, </w:t>
      </w:r>
      <w:r w:rsidRPr="00AE0186">
        <w:rPr>
          <w:rFonts w:ascii="Times New Roman" w:hAnsi="Times New Roman" w:cs="Times New Roman"/>
          <w:i/>
        </w:rPr>
        <w:t>T1</w:t>
      </w:r>
      <w:r w:rsidRPr="00AE0186">
        <w:rPr>
          <w:rFonts w:ascii="Times New Roman" w:hAnsi="Times New Roman" w:cs="Times New Roman"/>
        </w:rPr>
        <w:t xml:space="preserve"> increased when microvascular density and proliferation (determined from CD31 and Ki67 staining, respectively) decreased in a mouse model of ovarian adenocarcinoma receiving anti-angiogenic therapy </w:t>
      </w:r>
      <w:r w:rsidR="0029677C">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{"citationItems":[{"id":"ITEM-1","itemData":{"DOI":"10.1371/journal.pone.0131095","ISBN":"1932-6203 (Electronic)\\r1932-6203 (Linking)","ISSN":"1932-6203","PMID":"26098849","abstract":"PURPOSE To assess whether T1 relaxation time of tumors may be used to assess response to bevacizumab anti-angiogenic therapy. PROCEDURES 12 female nude mice bearing subcutaneous SKOV3ip1-LC ovarian tumors were administered bevacizumab (6.25ug/g, n=6) or PBS (control, n=6) therapy twice a week for two weeks. T1 maps of tumors were generated before, two days, and 2 weeks after initiating therapy. Tumor weight was assessed by MR and at necropsy. Histology for microvessel density, proliferation, and apoptosis was performed. RESULTS Bevacizumab treatment resulted in tumor growth inhibition (p&lt;0.04, n=6), confirming therapeutic efficacy. Tumor T1 relaxation times increased in bevacizumab treated mice 2 days and 2 weeks after initiating therapy (p&lt;.05, n=6). Microvessel density decreased 59% and cell proliferation (Ki67+) decreased 50% in the bevacizumab treatment group (p&lt;.001, n=6), but not apoptosis. CONCLUSIONS Findings suggest that increased tumor T1 relaxation time is associated with response to bevacizumab therapy in ovarian cancer model and might serve as an early indicator of response.","author":[{"dropping-particle":"","family":"Ravoori","given":"Murali K","non-dropping-particle":"","parse-names":false,"suffix":""},{"dropping-particle":"","family":"Nishimura","given":"Masato","non-dropping-particle":"","parse-names":false,"suffix":""},{"dropping-particle":"","family":"Singh","given":"Sheela P","non-dropping-particle":"","parse-names":false,"suffix":""},{"dropping-particle":"","family":"Lu","given":"Chunhua","non-dropping-particle":"","parse-names":false,"suffix":""},{"dropping-particle":"","family":"Han","given":"Lin","non-dropping-particle":"","parse-names":false,"suffix":""},{"dropping-particle":"","family":"Hobbs","given":"Brian P","non-dropping-particle":"","parse-names":false,"suffix":""},{"dropping-particle":"","family":"Pradeep","given":"Sunila","non-dropping-particle":"","parse-names":false,"suffix":""},{"dropping-particle":"","family":"Choi","given":"Hyun J","non-dropping-particle":"","parse-names":false,"suffix":""},{"dropping-particle":"","family":"Bankson","given":"James A","non-dropping-particle":"","parse-names":false,"suffix":""},{"dropping-particle":"","family":"Sood","given":"Anil K","non-dropping-particle":"","parse-names":false,"suffix":""},{"dropping-particle":"","family":"Kundra","given":"Vikas","non-dropping-particle":"","parse-names":false,"suffix":""}],"container-title":"PloS one","id":"ITEM-1","issue":"6","issued":{"date-parts":[["2015"]]},"page":"e0131095","title":"Tumor T1 Relaxation Time for Assessing Response to Bevacizumab Anti-Angiogenic Therapy in a Mouse Ovarian Cancer Model.","type":"article-journal","volume":"10"},"uris":["http://www.mendeley.com/documents/?uuid=3692677e-3598-454c-8e99-62a9386bdc46"]}],"mendeley":{"formattedCitation":"&lt;sup&gt;7&lt;/sup&gt;","plainTextFormattedCitation":"7","previouslyFormattedCitation":"&lt;sup&gt;7&lt;/sup&gt;"},"properties":{"noteIndex":0},"schema":"https://github.com/citation-style-language/schema/raw/master/csl-citation.json"}</w:instrText>
      </w:r>
      <w:r w:rsidR="0029677C">
        <w:rPr>
          <w:rFonts w:ascii="Times New Roman" w:hAnsi="Times New Roman" w:cs="Times New Roman"/>
        </w:rPr>
        <w:fldChar w:fldCharType="separate"/>
      </w:r>
      <w:r w:rsidR="00A17C25" w:rsidRPr="00A17C25">
        <w:rPr>
          <w:rFonts w:ascii="Times New Roman" w:hAnsi="Times New Roman" w:cs="Times New Roman"/>
          <w:noProof/>
          <w:vertAlign w:val="superscript"/>
        </w:rPr>
        <w:t>7</w:t>
      </w:r>
      <w:r w:rsidR="0029677C">
        <w:rPr>
          <w:rFonts w:ascii="Times New Roman" w:hAnsi="Times New Roman" w:cs="Times New Roman"/>
        </w:rPr>
        <w:fldChar w:fldCharType="end"/>
      </w:r>
      <w:r w:rsidRPr="00AE0186">
        <w:rPr>
          <w:rFonts w:ascii="Times New Roman" w:hAnsi="Times New Roman" w:cs="Times New Roman"/>
        </w:rPr>
        <w:t xml:space="preserve">. </w:t>
      </w:r>
    </w:p>
    <w:p w14:paraId="7F92F7B0"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lastRenderedPageBreak/>
        <w:t xml:space="preserve">Angiogenesis/MVD and proliferation are clinically relevant tumour characteristics, which makes </w:t>
      </w:r>
      <w:r w:rsidRPr="00AE0186">
        <w:rPr>
          <w:rFonts w:ascii="Times New Roman" w:hAnsi="Times New Roman" w:cs="Times New Roman"/>
          <w:i/>
        </w:rPr>
        <w:t>T1</w:t>
      </w:r>
      <w:r w:rsidRPr="00AE0186">
        <w:rPr>
          <w:rFonts w:ascii="Times New Roman" w:hAnsi="Times New Roman" w:cs="Times New Roman"/>
        </w:rPr>
        <w:t xml:space="preserve"> highly interesting as a non-invasive imaging biomarker that should be further studied. Furthermore, </w:t>
      </w:r>
      <w:r w:rsidRPr="00AE0186">
        <w:rPr>
          <w:rFonts w:ascii="Times New Roman" w:hAnsi="Times New Roman" w:cs="Times New Roman"/>
          <w:i/>
        </w:rPr>
        <w:t>T1</w:t>
      </w:r>
      <w:r w:rsidRPr="00AE0186">
        <w:rPr>
          <w:rFonts w:ascii="Times New Roman" w:hAnsi="Times New Roman" w:cs="Times New Roman"/>
        </w:rPr>
        <w:t xml:space="preserve"> had relatively high predictive power for Ki67count and, unlike </w:t>
      </w:r>
      <w:r w:rsidRPr="00AE0186">
        <w:rPr>
          <w:rFonts w:ascii="Times New Roman" w:hAnsi="Times New Roman" w:cs="Times New Roman"/>
          <w:i/>
        </w:rPr>
        <w:t>IS</w:t>
      </w:r>
      <w:r w:rsidRPr="00AE0186">
        <w:rPr>
          <w:rFonts w:ascii="Times New Roman" w:hAnsi="Times New Roman" w:cs="Times New Roman"/>
        </w:rPr>
        <w:t xml:space="preserve">, </w:t>
      </w:r>
      <w:r w:rsidRPr="00AE0186">
        <w:rPr>
          <w:rFonts w:ascii="Times New Roman" w:hAnsi="Times New Roman" w:cs="Times New Roman"/>
          <w:i/>
        </w:rPr>
        <w:t>T1</w:t>
      </w:r>
      <w:r w:rsidRPr="00AE0186">
        <w:rPr>
          <w:rFonts w:ascii="Times New Roman" w:hAnsi="Times New Roman" w:cs="Times New Roman"/>
        </w:rPr>
        <w:t xml:space="preserve"> would not require contrast injection for Ki67count assessment. Nevertheless, the cluster analysis in </w:t>
      </w:r>
      <w:r w:rsidR="008070BF">
        <w:rPr>
          <w:rFonts w:ascii="Times New Roman" w:hAnsi="Times New Roman" w:cs="Times New Roman"/>
        </w:rPr>
        <w:t>Figure 7</w:t>
      </w:r>
      <w:r w:rsidRPr="00AE0186">
        <w:rPr>
          <w:rFonts w:ascii="Times New Roman" w:hAnsi="Times New Roman" w:cs="Times New Roman"/>
        </w:rPr>
        <w:t xml:space="preserve"> show that </w:t>
      </w:r>
      <w:r w:rsidRPr="00AE0186">
        <w:rPr>
          <w:rFonts w:ascii="Times New Roman" w:hAnsi="Times New Roman" w:cs="Times New Roman"/>
          <w:i/>
        </w:rPr>
        <w:t>T1</w:t>
      </w:r>
      <w:r w:rsidRPr="00AE0186">
        <w:rPr>
          <w:rFonts w:ascii="Times New Roman" w:hAnsi="Times New Roman" w:cs="Times New Roman"/>
        </w:rPr>
        <w:t xml:space="preserve"> and </w:t>
      </w:r>
      <w:r w:rsidRPr="00AE0186">
        <w:rPr>
          <w:rFonts w:ascii="Times New Roman" w:hAnsi="Times New Roman" w:cs="Times New Roman"/>
          <w:i/>
        </w:rPr>
        <w:t>IS</w:t>
      </w:r>
      <w:r w:rsidRPr="00AE0186">
        <w:rPr>
          <w:rFonts w:ascii="Times New Roman" w:hAnsi="Times New Roman" w:cs="Times New Roman"/>
        </w:rPr>
        <w:t xml:space="preserve"> contain complementary information. Indeed, </w:t>
      </w:r>
      <w:r w:rsidRPr="00AE0186">
        <w:rPr>
          <w:rFonts w:ascii="Times New Roman" w:hAnsi="Times New Roman" w:cs="Times New Roman"/>
          <w:i/>
        </w:rPr>
        <w:t>T1</w:t>
      </w:r>
      <w:r w:rsidRPr="00AE0186">
        <w:rPr>
          <w:rFonts w:ascii="Times New Roman" w:hAnsi="Times New Roman" w:cs="Times New Roman"/>
        </w:rPr>
        <w:t xml:space="preserve"> reflects an environmental characteristic rather than a functional perfusion related characteristic, and both parameters may be warranted in a multiparametric approach for tumour tissue characterization. </w:t>
      </w:r>
    </w:p>
    <w:p w14:paraId="44352255" w14:textId="34E8576B"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Tissue</w:t>
      </w:r>
      <w:r w:rsidRPr="00AE0186">
        <w:rPr>
          <w:rFonts w:ascii="Times New Roman" w:hAnsi="Times New Roman" w:cs="Times New Roman"/>
          <w:i/>
        </w:rPr>
        <w:t xml:space="preserve"> T2*</w:t>
      </w:r>
      <w:r w:rsidRPr="00AE0186">
        <w:rPr>
          <w:rFonts w:ascii="Times New Roman" w:hAnsi="Times New Roman" w:cs="Times New Roman"/>
        </w:rPr>
        <w:t xml:space="preserve"> did not correlate with any of the histological parameters in the present study. </w:t>
      </w:r>
      <w:r w:rsidRPr="00AE0186">
        <w:rPr>
          <w:rFonts w:ascii="Times New Roman" w:hAnsi="Times New Roman" w:cs="Times New Roman"/>
          <w:i/>
        </w:rPr>
        <w:t>T2*</w:t>
      </w:r>
      <w:r w:rsidRPr="00AE0186">
        <w:rPr>
          <w:rFonts w:ascii="Times New Roman" w:hAnsi="Times New Roman" w:cs="Times New Roman"/>
        </w:rPr>
        <w:t xml:space="preserve"> is sensitive to magnetic field inhomogeneities caused by, </w:t>
      </w:r>
      <w:r w:rsidRPr="00AE0186">
        <w:rPr>
          <w:rFonts w:ascii="Times New Roman" w:hAnsi="Times New Roman" w:cs="Times New Roman"/>
          <w:i/>
        </w:rPr>
        <w:t>e.g.</w:t>
      </w:r>
      <w:r w:rsidRPr="00AE0186">
        <w:rPr>
          <w:rFonts w:ascii="Times New Roman" w:hAnsi="Times New Roman" w:cs="Times New Roman"/>
        </w:rPr>
        <w:t xml:space="preserve">, deoxyhaemoglobin concentrations, and it has also been associated with necrosis </w:t>
      </w:r>
      <w:r w:rsidR="00EB45E1">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{"citationItems":[{"id":"ITEM-1","itemData":{"DOI":"10.1371/journal.pone.0022835","ISBN":"1932-6203 (Electronic)\\r1932-6203 (Linking)","ISSN":"19326203","PMID":"21897840","abstract":"Magnetic resonance imaging (MRI), together with histology, is widely used to diagnose and to monitor treatment in oncology. Spatial correspondence between these modalities provides information about the ability of MRI to characterize cancerous tissue. However, registration is complicated by deformations during pathological processing, and differences in scale and information content.","author":[{"dropping-particle":"","family":"Alic","given":"Lejla","non-dropping-particle":"","parse-names":false,"suffix":""},{"dropping-particle":"","family":"Haeck","given":"Joost C.","non-dropping-particle":"","parse-names":false,"suffix":""},{"dropping-particle":"","family":"Bol","given":"Karin","non-dropping-particle":"","parse-names":false,"suffix":""},{"dropping-particle":"","family":"Klein","given":"Stefan","non-dropping-particle":"","parse-names":false,"suffix":""},{"dropping-particle":"","family":"Tiel","given":"Sandra T.","non-dropping-particle":"van","parse-names":false,"suffix":""},{"dropping-particle":"","family":"Wielepolski","given":"Piotr A.","non-dropping-particle":"","parse-names":false,"suffix":""},{"dropping-particle":"","family":"Jong","given":"Marion","non-dropping-particle":"de","parse-names":false,"suffix":""},{"dropping-particle":"","family":"Niessen","given":"Wiro J.","non-dropping-particle":"","parse-names":false,"suffix":""},{"dropping-particle":"","family":"Bernsen","given":"Monique","non-dropping-particle":"","parse-names":false,"suffix":""},{"dropping-particle":"","family":"Veenland","given":"Jifke F.","non-dropping-particle":"","parse-names":false,"suffix":""}],"container-title":"PLoS ONE","id":"ITEM-1","issue":"8","issued":{"date-parts":[["2011"]]},"page":"1-10","title":"Facilitating tumor functional assessment by spatially relating 3D tumor histology and In Vivo MRI: Image registration approach","type":"article-journal","volume":"6"},"uris":["http://www.mendeley.com/documents/?uuid=b50f9b28-a9d7-4e6b-a6d6-a0aeda099895"]}],"mendeley":{"formattedCitation":"&lt;sup&gt;22&lt;/sup&gt;","plainTextFormattedCitation":"22","previouslyFormattedCitation":"&lt;sup&gt;22&lt;/sup&gt;"},"properties":{"noteIndex":0},"schema":"https://github.com/citation-style-language/schema/raw/master/csl-citation.json"}</w:instrText>
      </w:r>
      <w:r w:rsidR="00EB45E1">
        <w:rPr>
          <w:rFonts w:ascii="Times New Roman" w:hAnsi="Times New Roman" w:cs="Times New Roman"/>
        </w:rPr>
        <w:fldChar w:fldCharType="separate"/>
      </w:r>
      <w:r w:rsidR="000475DF" w:rsidRPr="000475DF">
        <w:rPr>
          <w:rFonts w:ascii="Times New Roman" w:hAnsi="Times New Roman" w:cs="Times New Roman"/>
          <w:noProof/>
          <w:vertAlign w:val="superscript"/>
        </w:rPr>
        <w:t>22</w:t>
      </w:r>
      <w:r w:rsidR="00EB45E1">
        <w:rPr>
          <w:rFonts w:ascii="Times New Roman" w:hAnsi="Times New Roman" w:cs="Times New Roman"/>
        </w:rPr>
        <w:fldChar w:fldCharType="end"/>
      </w:r>
      <w:r w:rsidRPr="00AE0186">
        <w:rPr>
          <w:rFonts w:ascii="Times New Roman" w:hAnsi="Times New Roman" w:cs="Times New Roman"/>
        </w:rPr>
        <w:t xml:space="preserve">. It may, however, be problematic to study </w:t>
      </w:r>
      <w:r w:rsidRPr="00AE0186">
        <w:rPr>
          <w:rFonts w:ascii="Times New Roman" w:hAnsi="Times New Roman" w:cs="Times New Roman"/>
          <w:i/>
        </w:rPr>
        <w:t xml:space="preserve">T2* </w:t>
      </w:r>
      <w:r w:rsidRPr="00AE0186">
        <w:rPr>
          <w:rFonts w:ascii="Times New Roman" w:hAnsi="Times New Roman" w:cs="Times New Roman"/>
        </w:rPr>
        <w:t>correlations with parameters acquired after a certain delay (</w:t>
      </w:r>
      <w:r w:rsidRPr="00AE0186">
        <w:rPr>
          <w:rFonts w:ascii="Times New Roman" w:hAnsi="Times New Roman" w:cs="Times New Roman"/>
          <w:i/>
        </w:rPr>
        <w:t>e.g.</w:t>
      </w:r>
      <w:r w:rsidRPr="00AE0186">
        <w:rPr>
          <w:rFonts w:ascii="Times New Roman" w:hAnsi="Times New Roman" w:cs="Times New Roman"/>
        </w:rPr>
        <w:t xml:space="preserve"> between imaging and subsequent tissue fixation) due to temporal variations in tissue oxygenation, a phenomenon often observed in solid tumours </w:t>
      </w:r>
      <w:r w:rsidR="00EB45E1">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{"citationItems":[{"id":"ITEM-1","itemData":{"DOI":"10.1002/nbm.1002","ISSN":"0952-3480","author":[{"dropping-particle":"","family":"Baudelet","given":"Christine","non-dropping-particle":"","parse-names":false,"suffix":""},{"dropping-particle":"","family":"Cron","given":"Greg O.","non-dropping-particle":"","parse-names":false,"suffix":""},{"dropping-particle":"","family":"Ansiaux","given":"Réginald","non-dropping-particle":"","parse-names":false,"suffix":""},{"dropping-particle":"","family":"Crokart","given":"Nathalie","non-dropping-particle":"","parse-names":false,"suffix":""},{"dropping-particle":"","family":"DeWever","given":"Julie","non-dropping-particle":"","parse-names":false,"suffix":""},{"dropping-particle":"","family":"Feron","given":"Olivier","non-dropping-particle":"","parse-names":false,"suffix":""},{"dropping-particle":"","family":"Gallez","given":"Bernard","non-dropping-particle":"","parse-names":false,"suffix":""}],"container-title":"NMR in Biomedicine","id":"ITEM-1","issue":"1","issued":{"date-parts":[["2006","2","1"]]},"page":"69-76","publisher":"John Wiley &amp; Sons, Ltd.","title":"The role of vessel maturation and vessel functionality in spontaneous fluctuations ofT2*-weighted GRE signal within tumors","type":"article-journal","volume":"19"},"uris":["http://www.mendeley.com/documents/?uuid=306240bf-3ddd-3152-887d-7d4b61a55ca9"]}],"mendeley":{"formattedCitation":"&lt;sup&gt;36&lt;/sup&gt;","plainTextFormattedCitation":"36","previouslyFormattedCitation":"&lt;sup&gt;36&lt;/sup&gt;"},"properties":{"noteIndex":0},"schema":"https://github.com/citation-style-language/schema/raw/master/csl-citation.json"}</w:instrText>
      </w:r>
      <w:r w:rsidR="00EB45E1">
        <w:rPr>
          <w:rFonts w:ascii="Times New Roman" w:hAnsi="Times New Roman" w:cs="Times New Roman"/>
        </w:rPr>
        <w:fldChar w:fldCharType="separate"/>
      </w:r>
      <w:r w:rsidR="000475DF" w:rsidRPr="000475DF">
        <w:rPr>
          <w:rFonts w:ascii="Times New Roman" w:hAnsi="Times New Roman" w:cs="Times New Roman"/>
          <w:noProof/>
          <w:vertAlign w:val="superscript"/>
        </w:rPr>
        <w:t>36</w:t>
      </w:r>
      <w:r w:rsidR="00EB45E1">
        <w:rPr>
          <w:rFonts w:ascii="Times New Roman" w:hAnsi="Times New Roman" w:cs="Times New Roman"/>
        </w:rPr>
        <w:fldChar w:fldCharType="end"/>
      </w:r>
      <w:r w:rsidRPr="00AE0186">
        <w:rPr>
          <w:rFonts w:ascii="Times New Roman" w:hAnsi="Times New Roman" w:cs="Times New Roman"/>
        </w:rPr>
        <w:t xml:space="preserve">. It is also possible that CD31-based MVD, the parameter we anticipated would correlate with </w:t>
      </w:r>
      <w:r w:rsidRPr="00AE0186">
        <w:rPr>
          <w:rFonts w:ascii="Times New Roman" w:hAnsi="Times New Roman" w:cs="Times New Roman"/>
          <w:i/>
        </w:rPr>
        <w:t>T2*</w:t>
      </w:r>
      <w:r w:rsidRPr="00AE0186">
        <w:rPr>
          <w:rFonts w:ascii="Times New Roman" w:hAnsi="Times New Roman" w:cs="Times New Roman"/>
        </w:rPr>
        <w:t xml:space="preserve">, is a poor choice to reflect regional perfusion properties, and thereby oxygen status in tumours. </w:t>
      </w:r>
    </w:p>
    <w:p w14:paraId="4572F969"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No correlations were found between diffusion parameters (</w:t>
      </w:r>
      <w:r w:rsidRPr="00AE0186">
        <w:rPr>
          <w:rFonts w:ascii="Times New Roman" w:hAnsi="Times New Roman" w:cs="Times New Roman"/>
          <w:i/>
        </w:rPr>
        <w:t>D</w:t>
      </w:r>
      <w:r w:rsidRPr="00AE0186">
        <w:rPr>
          <w:rFonts w:ascii="Times New Roman" w:hAnsi="Times New Roman" w:cs="Times New Roman"/>
        </w:rPr>
        <w:t xml:space="preserve"> and </w:t>
      </w:r>
      <w:r w:rsidRPr="00AE0186">
        <w:rPr>
          <w:rFonts w:ascii="Times New Roman" w:hAnsi="Times New Roman" w:cs="Times New Roman"/>
          <w:i/>
        </w:rPr>
        <w:t>ADC</w:t>
      </w:r>
      <w:r w:rsidRPr="00AE0186">
        <w:rPr>
          <w:rFonts w:ascii="Times New Roman" w:hAnsi="Times New Roman" w:cs="Times New Roman"/>
        </w:rPr>
        <w:t xml:space="preserve">) and the evaluated histological indices in this study. Diffusion is affected by the size and viscosity of the EES, membrane structures in cellular debris, etc. Although viscosity may not be reflected by any of the evaluated indices, it seems reasonable that the level of apoptosis, proliferative activity or fibrosis should be reflected in Ki67count, HEcount or FD. Due to the lack of landmarks for registration in central parts of the tumours, however, a majority of the data is based on more peripheral parts of the tumours (typically outside half the tumour radius). Less variation of the evaluated parameters may thus have obscured correlations. More likely, however, only day 1 and 13 after therapy were evaluated and transient or increased effects affecting diffusion may have been missed. </w:t>
      </w:r>
    </w:p>
    <w:p w14:paraId="66D70583" w14:textId="6C58E02D"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The perfusion fraction (</w:t>
      </w:r>
      <w:r w:rsidRPr="00AE0186">
        <w:rPr>
          <w:rFonts w:ascii="Times New Roman" w:hAnsi="Times New Roman" w:cs="Times New Roman"/>
          <w:i/>
        </w:rPr>
        <w:t>f</w:t>
      </w:r>
      <w:r w:rsidRPr="00AE0186">
        <w:rPr>
          <w:rFonts w:ascii="Times New Roman" w:hAnsi="Times New Roman" w:cs="Times New Roman"/>
        </w:rPr>
        <w:t xml:space="preserve">) showed a significant correlation with the fractional tissue area of fibrosis (FD). Tissue response to irradiation may result in fibrotic tissue formation, and the GOT1 tumour model has demonstrated fibrosis in response to </w:t>
      </w:r>
      <w:r w:rsidRPr="00AE0186">
        <w:rPr>
          <w:rFonts w:ascii="Times New Roman" w:hAnsi="Times New Roman" w:cs="Times New Roman"/>
          <w:vertAlign w:val="superscript"/>
        </w:rPr>
        <w:t>177</w:t>
      </w:r>
      <w:r w:rsidRPr="00AE0186">
        <w:rPr>
          <w:rFonts w:ascii="Times New Roman" w:hAnsi="Times New Roman" w:cs="Times New Roman"/>
        </w:rPr>
        <w:t xml:space="preserve">Lu-ocreotate therapy, as seen on MT staining </w:t>
      </w:r>
      <w:r w:rsidR="00EB45E1">
        <w:rPr>
          <w:rFonts w:ascii="Times New Roman" w:hAnsi="Times New Roman" w:cs="Times New Roman"/>
        </w:rPr>
        <w:fldChar w:fldCharType="begin" w:fldLock="1"/>
      </w:r>
      <w:r w:rsidR="006A551B">
        <w:rPr>
          <w:rFonts w:ascii="Times New Roman" w:hAnsi="Times New Roman" w:cs="Times New Roman"/>
        </w:rPr>
        <w:instrText>ADDIN CSL_CITATION {"citationItems":[{"id":"ITEM-1","itemData":{"DOI":"10.1186/s13550-016-0247-y","ISSN":"2191219X","abstract":"© 2016, The Author(s). Background:  177 Lu-[DOTA 0 , Tyr 3 ]-octreotate ( 177 Lu-octreotate) is used for treatment of patients with somatostatin receptor (SSTR) expressing neuroendocrine tumors. However, complete tumor remission is rarely seen, and optimization of treatment protocols is needed. In vitro studies have shown that irradiation can up-regulate the expression of SSTR1, 2 and 5, and increase  177 Lu-octreotate uptake. The aim of the present study was to examine the anti-tumor effect of a  177 Lu-octreotate priming dose followed 24 h later by a second injection of  177 Lu-octreotate compared to a single administration of  177 Lu-octreotate, performed on the human small intestine neuroendocrine tumor cell line, GOT1, transplanted to nude mice. Results: Priming resulted in a 1.9 times higher mean absorbed dose to the tumor tissue per administered activity, together with a reduced mean absorbed dose for kidneys. Priming gave the best overall anti-tumor effects. Magnetic resonance imaging showed no statistically significant difference in tumor response between treatment with and without priming. Gene expression analysis demonstrated effects on cell cycle regulation. Biological processes associated with apoptotic cell death were highly affected in the biodistribution and dosimetry study, via differential regulation of, e.g., APOE, BAX, CDKN1A, and GADD45A. Conclusions: Priming had the best overall anti-tumor effects and also resulted in an increased therapeutic window. Results indicate that potential biomarkers for tumor regrowth may be found in the p53 or JNK signaling pathways. Priming administration is an interesting optimization strategy for  177 Lu-octreotate therapy of neuroendocrine tumors, and further studies should be performed to determine the mechanisms responsible for the reported effects.","author":[{"dropping-particle":"","family":"Dalmo","given":"J.","non-dropping-particle":"","parse-names":false,"suffix":""},{"dropping-particle":"","family":"Spetz","given":"J.","non-dropping-particle":"","parse-names":false,"suffix":""},{"dropping-particle":"","family":"Montelius","given":"M.","non-dropping-particle":"","parse-names":false,"suffix":""},{"dropping-particle":"","family":"Langen","given":"B.","non-dropping-particle":"","parse-names":false,"suffix":""},{"dropping-particle":"","family":"Arvidsson","given":"Y.","non-dropping-particle":"","parse-names":false,"suffix":""},{"dropping-particle":"","family":"Johansson","given":"H.","non-dropping-particle":"","parse-names":false,"suffix":""},{"dropping-particle":"","family":"Parris","given":"T.Z.","non-dropping-particle":"","parse-names":false,"suffix":""},{"dropping-particle":"","family":"Helou","given":"K.","non-dropping-particle":"","parse-names":false,"suffix":""},{"dropping-particle":"","family":"Wängberg","given":"B.","non-dropping-particle":"","parse-names":false,"suffix":""},{"dropping-particle":"","family":"Nilsson","given":"O.","non-dropping-particle":"","parse-names":false,"suffix":""},{"dropping-particle":"","family":"Ljungberg","given":"M.","non-dropping-particle":"","parse-names":false,"suffix":""},{"dropping-particle":"","family":"Forssell-Aronsson","given":"E.","non-dropping-particle":"","parse-names":false,"suffix":""}],"container-title":"EJNMMI Research","id":"ITEM-1","issue":"1","issued":{"date-parts":[["2017"]]},"title":"Priming increases the anti-tumor effect and therapeutic window of &lt;sup&gt;177&lt;/sup&gt;Lu-octreotate in nude mice bearing human small intestine neuroendocrine tumor GOT1","type":"article-journal","volume":"7"},"uris":["http://www.mendeley.com/documents/?uuid=76765a13-d58c-35e0-bd8a-31e42d17976e"]},{"id":"ITEM-2","itemData":{"DOI":"10.1038/sj.bjc.6602845","ISSN":"0007-0920","PMID":"16251870","abstract":"Somatostatin receptor (sstr)-mediated radiation therapy is a new therapeutic modality for neuroendocrine (NE) tumours. High expression of sstr in NE tumours leads to tumour-specific uptake of radiolabelled somatostatin analogues and high absorbed doses. In this study, we present the first optimised radiation therapy via sstr using [(177)Lu-DOTA(0)-Tyr(3)]-octreotate given to nude mice xenografted with the human midgut carcinoid GOT1. The tumours in 22 out of 23 animals given therapeutic amounts showed dose-dependent, rapid complete remission. The diagnostic amount (0.5 MBq [(177)Lu-DOTA(0)-Tyr(3)]-octreotate) did not influence tumour growth and was rapidly excreted. In contrast, the therapeutic amount (30 MBq [(177)Lu-DOTA(0)-Tyr(3)]-octreotate) induced rapid tumour regression and entrapment of (177)Lu so that the activity concentration of (177)Lu remained high, 7 and 13 days after injection. The entrapment phenomenon increased the absorbed dose to tumours from 1.6 to 4.0 Gy MBq(-1) and the tumours in animals treated with 30 MBq received 120 Gy. Therapeutic amounts of [(177)Lu-DOTA(0)-Tyr(3)]-octreotate rapidly induced apoptosis and gradual development of fibrosis in grafted tumours. In conclusion, human midgut carcinoid xenografts can be cured by receptor-mediated radiation therapy by optimising the uptake of radioligand and taking advantage of the favourable change in biokinetics induced by entrapment of radionuclide in the tumours.","author":[{"dropping-particle":"","family":"Kölby","given":"L","non-dropping-particle":"","parse-names":false,"suffix":""},{"dropping-particle":"","family":"Bernhardt","given":"P","non-dropping-particle":"","parse-names":false,"suffix":""},{"dropping-particle":"","family":"Johanson","given":"V","non-dropping-particle":"","parse-names":false,"suffix":""},{"dropping-particle":"","family":"Schmitt","given":"A","non-dropping-particle":"","parse-names":false,"suffix":""},{"dropping-particle":"","family":"Ahlman","given":"H","non-dropping-particle":"","parse-names":false,"suffix":""},{"dropping-particle":"","family":"Forssell-Aronsson","given":"E","non-dropping-particle":"","parse-names":false,"suffix":""},{"dropping-particle":"","family":"Mäcke","given":"H","non-dropping-particle":"","parse-names":false,"suffix":""},{"dropping-particle":"","family":"Nilsson","given":"O","non-dropping-particle":"","parse-names":false,"suffix":""}],"container-title":"British journal of cancer","id":"ITEM-2","issue":"10","issued":{"date-parts":[["2005"]]},"page":"1144-51","title":"Successful receptor-mediated radiation therapy of xenografted human midgut carcinoid tumour.","type":"article-journal","volume":"93"},"uris":["http://www.mendeley.com/documents/?uuid=9ebaec3e-e942-4ac7-80a3-4abeb6d1dd87"]}],"mendeley":{"formattedCitation":"&lt;sup&gt;16,37&lt;/sup&gt;","plainTextFormattedCitation":"16,37","previouslyFormattedCitation":"&lt;sup&gt;16,37&lt;/sup&gt;"},"properties":{"noteIndex":0},"schema":"https://github.com/citation-style-language/schema/raw/master/csl-citation.json"}</w:instrText>
      </w:r>
      <w:r w:rsidR="00EB45E1">
        <w:rPr>
          <w:rFonts w:ascii="Times New Roman" w:hAnsi="Times New Roman" w:cs="Times New Roman"/>
        </w:rPr>
        <w:fldChar w:fldCharType="separate"/>
      </w:r>
      <w:r w:rsidR="00A17C25" w:rsidRPr="00A17C25">
        <w:rPr>
          <w:rFonts w:ascii="Times New Roman" w:hAnsi="Times New Roman" w:cs="Times New Roman"/>
          <w:noProof/>
          <w:vertAlign w:val="superscript"/>
        </w:rPr>
        <w:t>16,37</w:t>
      </w:r>
      <w:r w:rsidR="00EB45E1">
        <w:rPr>
          <w:rFonts w:ascii="Times New Roman" w:hAnsi="Times New Roman" w:cs="Times New Roman"/>
        </w:rPr>
        <w:fldChar w:fldCharType="end"/>
      </w:r>
      <w:r w:rsidRPr="00AE0186">
        <w:rPr>
          <w:rFonts w:ascii="Times New Roman" w:hAnsi="Times New Roman" w:cs="Times New Roman"/>
        </w:rPr>
        <w:t xml:space="preserve">. Few studies have correlated </w:t>
      </w:r>
      <w:r w:rsidRPr="00AE0186">
        <w:rPr>
          <w:rFonts w:ascii="Times New Roman" w:hAnsi="Times New Roman" w:cs="Times New Roman"/>
          <w:i/>
        </w:rPr>
        <w:t>f</w:t>
      </w:r>
      <w:r w:rsidRPr="00AE0186">
        <w:rPr>
          <w:rFonts w:ascii="Times New Roman" w:hAnsi="Times New Roman" w:cs="Times New Roman"/>
        </w:rPr>
        <w:t xml:space="preserve"> with fibrosis in tumours. Residual lesions demonstrated significantly higher </w:t>
      </w:r>
      <w:r w:rsidRPr="00AE0186">
        <w:rPr>
          <w:rFonts w:ascii="Times New Roman" w:hAnsi="Times New Roman" w:cs="Times New Roman"/>
          <w:i/>
        </w:rPr>
        <w:t>f</w:t>
      </w:r>
      <w:r w:rsidRPr="00AE0186">
        <w:rPr>
          <w:rFonts w:ascii="Times New Roman" w:hAnsi="Times New Roman" w:cs="Times New Roman"/>
        </w:rPr>
        <w:t xml:space="preserve"> in post-chemoradiotherapy fibrosis compared with untreated tumours in nasopharyngeal carcinoma patients </w:t>
      </w:r>
      <w:r w:rsidR="00EB45E1">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{"citationItems":[{"id":"ITEM-1","itemData":{"DOI":"10.1007/s00330-013-2889-8","ISBN":"1432-1084 (Electronic) 0938-7994 (Linking)","ISSN":"09387994","PMID":"23722897","abstract":"OBJECTIVES: To compare the intravoxel incoherent motion (IVIM) diffusion and perfusion characteristics of nasopharyngeal carcinoma (NPC) and post-chemoradiation fibrosis to aid in their differentiation. METHODS: Fifty-three (64 %) patients with newly diagnosed NPC and 30 (36 %) patients with biopsy-proven post-chemoradiation fibrosis were recruited into tumour and fibrosis groups respectively. Diffusion-weighted magnetic resonance (MR) imaging was performed using 13 b values (0-1,000 s/mm(2)). Their respective IVIM parameters (D, pure diffusion; f, perfusion fraction; D, pseudodiffusion coefficient) were obtained. RESULTS: D and f were significantly lower in NPC (D = 0.752 ± 0.194 × 10(-3) mm(2)/s, P &lt;0.001; f = 0.122 ± 0.095, P &lt;0.001) than in fibrosis (D = 1.423 ± 0.364 × 10(-3) mm(2)/s; f = 0.190 ± 0.120); while D was significantly higher in NPC (111.366 ± 65.528 × 10(-3) mm(2)/s, P &lt;0.001) than in fibrosis (77.468 ± 62.168 × 10(-3) mm(2)/s). Respective cut-off values with sensitivity, specificity and accuracy were: D = 1.062 × 10(-3) mm(2)/s (100 %, 100 %, 100 %); f = 0.132 (66.0 %, 100 %, 78.3 %); D = 85.283 × 10(-3) mm(2)/s (100 %, 90.7 %, 96.4 %). CONCLUSION: NPC and post-chemoradiation fibrosis have distinctive IVIM parameters. IVIM MR imaging is potentially useful in discrimination between NPC and fibrosis. KEY POINTS: • New MRI techniques offer greater help in the assessment of nasopharyngeal carcinoma. • Tumour and post-chemoradiation fibrosis have distinctive intravoxel incoherent motion diffusion/perfusion parameters. • Non-invasive IVIM MRI may help differentiate between tumour and fibrosis. • Pure diffusion is a robust independent discriminating factor which improves diagnostic confidence.","author":[{"dropping-particle":"","family":"Lai","given":"Vincent","non-dropping-particle":"","parse-names":false,"suffix":""},{"dropping-particle":"","family":"Li","given":"Xiao","non-dropping-particle":"","parse-names":false,"suffix":""},{"dropping-particle":"","family":"Lee","given":"Victor Ho Fun","non-dropping-particle":"","parse-names":false,"suffix":""},{"dropping-particle":"","family":"Lam","given":"Ka On","non-dropping-particle":"","parse-names":false,"suffix":""},{"dropping-particle":"","family":"Chan","given":"Queenie","non-dropping-particle":"","parse-names":false,"suffix":""},{"dropping-particle":"","family":"Khong","given":"Pek Lan","non-dropping-particle":"","parse-names":false,"suffix":""}],"container-title":"European Radiology","id":"ITEM-1","issue":"10","issued":{"date-parts":[["2013"]]},"page":"2793-2801","title":"Intravoxel incoherent motion MR imaging: Comparison of diffusion and perfusion characteristics between nasopharyngeal carcinoma and post-chemoradiation fibrosis","type":"article-journal","volume":"23"},"uris":["http://www.mendeley.com/documents/?uuid=898cdc92-4426-48a2-bf09-53c986a523fb"]}],"mendeley":{"formattedCitation":"&lt;sup&gt;38&lt;/sup&gt;","plainTextFormattedCitation":"38","previouslyFormattedCitation":"&lt;sup&gt;38&lt;/sup&gt;"},"properties":{"noteIndex":0},"schema":"https://github.com/citation-style-language/schema/raw/master/csl-citation.json"}</w:instrText>
      </w:r>
      <w:r w:rsidR="00EB45E1">
        <w:rPr>
          <w:rFonts w:ascii="Times New Roman" w:hAnsi="Times New Roman" w:cs="Times New Roman"/>
        </w:rPr>
        <w:fldChar w:fldCharType="separate"/>
      </w:r>
      <w:r w:rsidR="000475DF" w:rsidRPr="000475DF">
        <w:rPr>
          <w:rFonts w:ascii="Times New Roman" w:hAnsi="Times New Roman" w:cs="Times New Roman"/>
          <w:noProof/>
          <w:vertAlign w:val="superscript"/>
        </w:rPr>
        <w:t>38</w:t>
      </w:r>
      <w:r w:rsidR="00EB45E1">
        <w:rPr>
          <w:rFonts w:ascii="Times New Roman" w:hAnsi="Times New Roman" w:cs="Times New Roman"/>
        </w:rPr>
        <w:fldChar w:fldCharType="end"/>
      </w:r>
      <w:r w:rsidRPr="00AE0186">
        <w:rPr>
          <w:rFonts w:ascii="Times New Roman" w:hAnsi="Times New Roman" w:cs="Times New Roman"/>
        </w:rPr>
        <w:t xml:space="preserve">, which agrees with our results, but opposite correlations have been demonstrated in liver fibrosis </w:t>
      </w:r>
      <w:r w:rsidR="00EB45E1">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{"citationItems":[{"id":"ITEM-1","itemData":{"DOI":"10.1016/j.mri.2013.03.007","ISBN":"1873-5894","ISSN":"0730725X","PMID":"23598061","abstract":"Rationale and Objectives: To compare the apparent diffusion coefficient (. ADC) and the perfusion fraction measured by intra-voxel incoherent motion (IVIM) Magnetic Resonance Imaging (MRI) with liver fibrosis degrees in a rodent model. Materials and Methods: All experiments received approval from our institutional animal care and use committee. Liver fibrosis was induced in 13 rats by oral gavage with diethylnitrosamine; 4 untreated rats with normal livers were used as controls. Diffusion Weighted MRI was performed and 8 gradient factors (0, 50, 100, 150, 200, 300, 400 and 500s/mm2) were acquired. The values of ADC, true diffusion coefficient D and perfusion fraction f were measured based on Li Bihan's method. The percentage of liver fibrosis was assessed via quantitative analysis of Masson trichrome staining using an average of 30 fields per section. The MRI measurements were compared to the histological fibrotic grade to evaluate the correlation between them. Results: ADC contained the contribution of diffusion and perfusion. The ADC and f values decreased significantly with the increasing fibrosis level (correlation coefficient: ADC: ρ= -0.781, p&lt;. 0.001; f: ρ= - 0.720, p=0.001); but D was poorly correlated with fibrosis level (ρ= -0.502, p=. 0.040). Conclusion: The hepatic ADC and the perfusion fraction f were significantly correlated with the liver fibrosis level; however, D was not. This might suggest that hepatic perfusion is altered during the progression of hepatic fibrosis. © 2013 Elsevier Inc.","author":[{"dropping-particle":"","family":"Zhang","given":"Yue","non-dropping-particle":"","parse-names":false,"suffix":""},{"dropping-particle":"","family":"Jin","given":"Ning","non-dropping-particle":"","parse-names":false,"suffix":""},{"dropping-particle":"","family":"Deng","given":"Jie","non-dropping-particle":"","parse-names":false,"suffix":""},{"dropping-particle":"","family":"Guo","given":"Yang","non-dropping-particle":"","parse-names":false,"suffix":""},{"dropping-particle":"","family":"White","given":"Sarah B.","non-dropping-particle":"","parse-names":false,"suffix":""},{"dropping-particle":"","family":"Yang","given":"Guang Yu","non-dropping-particle":"","parse-names":false,"suffix":""},{"dropping-particle":"","family":"Omary","given":"Reed A.","non-dropping-particle":"","parse-names":false,"suffix":""},{"dropping-particle":"","family":"Larson","given":"Andrew C.","non-dropping-particle":"","parse-names":false,"suffix":""}],"container-title":"Magnetic Resonance Imaging","id":"ITEM-1","issue":"6","issued":{"date-parts":[["2013"]]},"page":"1017-1021","title":"Intra-voxel incoherent motion MRI in rodent model of diethylnitrosamine-induced liver fibrosis","type":"article-journal","volume":"31"},"uris":["http://www.mendeley.com/documents/?uuid=8fc3b11a-6046-4c3b-8514-662882033f9a","http://www.mendeley.com/documents/?uuid=0fd778fb-b5b7-4902-b3e3-9e3c2860675a"]}],"mendeley":{"formattedCitation":"&lt;sup&gt;39&lt;/sup&gt;","plainTextFormattedCitation":"39","previouslyFormattedCitation":"&lt;sup&gt;39&lt;/sup&gt;"},"properties":{"noteIndex":0},"schema":"https://github.com/citation-style-language/schema/raw/master/csl-citation.json"}</w:instrText>
      </w:r>
      <w:r w:rsidR="00EB45E1">
        <w:rPr>
          <w:rFonts w:ascii="Times New Roman" w:hAnsi="Times New Roman" w:cs="Times New Roman"/>
        </w:rPr>
        <w:fldChar w:fldCharType="separate"/>
      </w:r>
      <w:r w:rsidR="000475DF" w:rsidRPr="000475DF">
        <w:rPr>
          <w:rFonts w:ascii="Times New Roman" w:hAnsi="Times New Roman" w:cs="Times New Roman"/>
          <w:noProof/>
          <w:vertAlign w:val="superscript"/>
        </w:rPr>
        <w:t>39</w:t>
      </w:r>
      <w:r w:rsidR="00EB45E1">
        <w:rPr>
          <w:rFonts w:ascii="Times New Roman" w:hAnsi="Times New Roman" w:cs="Times New Roman"/>
        </w:rPr>
        <w:fldChar w:fldCharType="end"/>
      </w:r>
      <w:r w:rsidRPr="00AE0186">
        <w:rPr>
          <w:rFonts w:ascii="Times New Roman" w:hAnsi="Times New Roman" w:cs="Times New Roman"/>
        </w:rPr>
        <w:t xml:space="preserve">. The role of </w:t>
      </w:r>
      <w:r w:rsidRPr="00AE0186">
        <w:rPr>
          <w:rFonts w:ascii="Times New Roman" w:hAnsi="Times New Roman" w:cs="Times New Roman"/>
          <w:i/>
        </w:rPr>
        <w:t>f</w:t>
      </w:r>
      <w:r w:rsidRPr="00AE0186">
        <w:rPr>
          <w:rFonts w:ascii="Times New Roman" w:hAnsi="Times New Roman" w:cs="Times New Roman"/>
        </w:rPr>
        <w:t xml:space="preserve"> in tumour characterization thus remains unclear, and further efforts to optimize acquisition and post-processing methods for IVIM-DWI are probably required before </w:t>
      </w:r>
      <w:r w:rsidRPr="00AE0186">
        <w:rPr>
          <w:rFonts w:ascii="Times New Roman" w:hAnsi="Times New Roman" w:cs="Times New Roman"/>
          <w:i/>
        </w:rPr>
        <w:t>f</w:t>
      </w:r>
      <w:r w:rsidRPr="00AE0186">
        <w:rPr>
          <w:rFonts w:ascii="Times New Roman" w:hAnsi="Times New Roman" w:cs="Times New Roman"/>
        </w:rPr>
        <w:t xml:space="preserve">, as well as </w:t>
      </w:r>
      <w:r w:rsidRPr="00AE0186">
        <w:rPr>
          <w:rFonts w:ascii="Times New Roman" w:hAnsi="Times New Roman" w:cs="Times New Roman"/>
          <w:i/>
        </w:rPr>
        <w:t>D*</w:t>
      </w:r>
      <w:r w:rsidRPr="00AE0186">
        <w:rPr>
          <w:rFonts w:ascii="Times New Roman" w:hAnsi="Times New Roman" w:cs="Times New Roman"/>
        </w:rPr>
        <w:t xml:space="preserve">, can be properly understood and evaluated. </w:t>
      </w:r>
    </w:p>
    <w:p w14:paraId="61FB60A8" w14:textId="14193AD6"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The heat maps of the histological indices (Figure 3k) are informative regarding the heterogeneity of the tumour vasculature and viability. As previously mentioned, the use of CD31-based MVD as a measure of vascular functionality and perfusion may not be optimal. MVD is mostly seen in the tumour periphery, whereas apoptosis and proliferation seem more evenly distributed throughout the tumour (Figure 3k), both of which would require vascular supply. A measure of the functional properties, or maturity, of the vasculature, instead of a static measure of endothelial cell presence (MVD), may better reflect adequate support for perfusion </w:t>
      </w:r>
      <w:r w:rsidR="00EB45E1">
        <w:rPr>
          <w:rFonts w:ascii="Times New Roman" w:hAnsi="Times New Roman" w:cs="Times New Roman"/>
        </w:rPr>
        <w:fldChar w:fldCharType="begin" w:fldLock="1"/>
      </w:r>
      <w:r w:rsidR="00B619EB">
        <w:rPr>
          <w:rFonts w:ascii="Times New Roman" w:hAnsi="Times New Roman" w:cs="Times New Roman"/>
        </w:rPr>
        <w:instrText>ADDIN CSL_CITATION {"citationItems":[{"id":"ITEM-1","itemData":{"DOI":"10.1007/s10549-016-3680-8","ISBN":"1573-7217","ISSN":"15737217","PMID":"26791520","abstract":"To employ in vivo imaging and histological techniques to identify and quantify vascular changes early in the course of treatment with trastuzumab in a murine model of HER2+ breast cancer. Dynamic contrast-enhanced magnetic resonance imaging (DCE-MRI) was used to quantitatively characterize vessel perfusion/permeability (via the parameter K (trans) ) and the extravascular extracellular volume fraction (v e ) in the BT474 mouse model of HER2+ breast cancer (N = 20) at baseline, day one, and day four following trastuzumab treatment (10 mg/kg). Additional cohorts of mice were used to quantify proliferation (Ki67), microvessel density (CD31), pericyte coverage (alpha-SMA) by immunohistochemistry (N = 44), and to quantify human VEGF-A expression (N = 29) throughout the course of therapy. Longitudinal assessment of combination doxorubicin +/- trastuzumab (N = 42) tested the hypothesis that prior treatment with trastuzumab will increase the efficacy of subsequent doxorubicin therapy. Compared to control tumors, trastuzumab-treated tumors exhibited a significant increase in K (trans) (P = 0.035) on day four, indicating increased perfusion and/or vessel permeability and a simultaneous significant increase in v e (P = 0.01), indicating increased cell death. Immunohistochemical and ELISA analyses revealed that by day four the trastuzumab-treated tumors had a significant increase in vessel maturation index (i.e., the ratio of alpha-SMA to CD31 staining) compared to controls (P &lt; 0.001) and a significant decrease in VEGF-A (P = 0.03). Additionally, trastuzumab dosing prior to doxorubicin improved the overall effectiveness of the therapies (P &lt; 0.001). This study identifies and validates improved perfusion characteristics following trastuzumab therapy, resulting in an improvement in trastuzumab-doxorubicin combination therapy in a murine model of HER2+ breast cancer. This data suggests properties of vessel maturation. In particular, the use of DCE-MRI, a clinically available imaging method, following treatment with trastuzumab may provide an opportunity to optimize the scheduling and improve delivery of subsequent cytotoxic therapy.","author":[{"dropping-particle":"","family":"Sorace","given":"Anna G.","non-dropping-particle":"","parse-names":false,"suffix":""},{"dropping-particle":"","family":"Quarles","given":"C. Chad","non-dropping-particle":"","parse-names":false,"suffix":""},{"dropping-particle":"","family":"Whisenant","given":"Jennifer G.","non-dropping-particle":"","parse-names":false,"suffix":""},{"dropping-particle":"","family":"Hanker","given":"Ariella B.","non-dropping-particle":"","parse-names":false,"suffix":""},{"dropping-particle":"","family":"McIntyre","given":"J. Oliver","non-dropping-particle":"","parse-names":false,"suffix":""},{"dropping-particle":"","family":"Sanchez","given":"Violeta M.","non-dropping-particle":"","parse-names":false,"suffix":""},{"dropping-particle":"","family":"Yankeelov","given":"Thomas E.","non-dropping-particle":"","parse-names":false,"suffix":""}],"container-title":"Breast Cancer Research and Treatment","id":"ITEM-1","issue":"2","issued":{"date-parts":[["2016"]]},"page":"273-284","publisher":"Springer US","title":"Trastuzumab improves tumor perfusion and vascular delivery of cytotoxic therapy in a murine model of HER2+ breast cancer: preliminary results","type":"article-journal","volume":"155"},"uris":["http://www.mendeley.com/documents/?uuid=45e5835b-2f42-4202-aed4-d7442b60d0ac"]},{"id":"ITEM-2","itemData":{"DOI":"10.1002/(SICI)1522-2586(199909)10:3&lt;260::AID-JMRI6&gt;3.0.CO;2-7","ISBN":"1053-1807 (Print)\\r1053-1807 (Linking)","ISSN":"10531807","PMID":"10508285","abstract":"While the diagnostic benefits of gadolinium (Gd)-chelate contrast agents are firmly established in magnetic resonance imaging (MRI) of tumors, the pathophysiologic basis of the enhancement observed and its histopathologic correlate remained vague. Tumor angiogenesis is fundamental for growth and metastasis and also of interest in new therapeutic concepts. By correlative analysis of a) histology; b) vascular density (CD31); and c) vascular permeability (vascular permeability factor/vascular endothelial growth factor [VPF/VEGF]), we found a) significantly (P &lt; 0.001) faster exchange rates in malignant compared with benign breast lesions; b) distinct differences in enhancement characteristics between the histologic types (invasive ductal carcinoma, invasive lobular carcinoma, and ductal carcinoma in situ); and c) dependence of enhancement kinetics on the VPF/VEGF expression. The pathophysiologic basis for the differences in contrast enhancement patterns of tumors detectable by MRI is mainly due to vascular permeability, which leads to more characteristic differences than vascular density. MRI is able to subclassify malignant breast tumors due to their different angiogenetic properties.","author":[{"dropping-particle":"V.","family":"Knopp","given":"M.","non-dropping-particle":"","parse-names":false,"suffix":""},{"dropping-particle":"","family":"Weiss","given":"E.","non-dropping-particle":"","parse-names":false,"suffix":""},{"dropping-particle":"","family":"Sinn","given":"H. P.","non-dropping-particle":"","parse-names":false,"suffix":""},{"dropping-particle":"","family":"Mattern","given":"J.","non-dropping-particle":"","parse-names":false,"suffix":""},{"dropping-particle":"","family":"Junkermann","given":"H.","non-dropping-particle":"","parse-names":false,"suffix":""},{"dropping-particle":"","family":"Radeleff","given":"J.","non-dropping-particle":"","parse-names":false,"suffix":""},{"dropping-particle":"","family":"Magener","given":"A.","non-dropping-particle":"","parse-names":false,"suffix":""},{"dropping-particle":"","family":"Brix","given":"G.","non-dropping-particle":"","parse-names":false,"suffix":""},{"dropping-particle":"","family":"Delorme","given":"S.","non-dropping-particle":"","parse-names":false,"suffix":""},{"dropping-particle":"","family":"Zuna","given":"I.","non-dropping-particle":"","parse-names":false,"suffix":""},{"dropping-particle":"","family":"Kaick","given":"G.","non-dropping-particle":"Van","parse-names":false,"suffix":""}],"container-title":"Journal of Magnetic Resonance Imaging","id":"ITEM-2","issue":"3","issued":{"date-parts":[["1999"]]},"page":"260-266","title":"Pathophysiologic basis of contrast enhancement in breast tumors","type":"article-journal","volume":"10"},"uris":["http://www.mendeley.com/documents/?uuid=b9be76d7-0625-418c-8342-7122fc86e3b9"]},{"id":"ITEM-3","itemData":{"DOI":"10.1148/radiol.11103515","ISBN":"1527-1315 (Electronic)\\n0033-8419 (Linking)","ISSN":"1527-1315","PMID":"21852570","abstract":"Quantitative DCE MR parameters, derived from pharmacokinetic models in malignant and benign pancreatic solid lesions and nontumoral pancreatic tissue, were significantly correlated with fibrosis and MVD. Supplemental material: http://radiology.rsna.org/lookup/suppl/doi:10.1148/radiol.11103515/-/DC1.","author":[{"dropping-particle":"","family":"Bali","given":"M A","non-dropping-particle":"","parse-names":false,"suffix":""},{"dropping-particle":"","family":"Metens","given":"T","non-dropping-particle":"","parse-names":false,"suffix":""},{"dropping-particle":"","family":"Denolin","given":"V","non-dropping-particle":"","parse-names":false,"suffix":""},{"dropping-particle":"","family":"Delhaye","given":"M","non-dropping-particle":"","parse-names":false,"suffix":""},{"dropping-particle":"","family":"Demetter","given":"P","non-dropping-particle":"","parse-names":false,"suffix":""},{"dropping-particle":"","family":"Closset","given":"J","non-dropping-particle":"","parse-names":false,"suffix":""},{"dropping-particle":"","family":"Matos","given":"C","non-dropping-particle":"","parse-names":false,"suffix":""}],"container-title":"Radiology","id":"ITEM-3","issue":"2","issued":{"date-parts":[["2011"]]},"page":"456-466","title":"Tumoral and nontumoral pancreas: correlation between quantitative dynamic contrast-enhanced MR imaging and histopathologic parameters","type":"article-journal","volume":"261"},"uris":["http://www.mendeley.com/documents/?uuid=bc4bfe5a-4375-4c9a-ad2a-65992c5bc716","http://www.mendeley.com/documents/?uuid=68be682b-7c85-464f-820b-c870387b1085"]}],"mendeley":{"formattedCitation":"&lt;sup&gt;32–34&lt;/sup&gt;","plainTextFormattedCitation":"32–34","previouslyFormattedCitation":"&lt;sup&gt;32–34&lt;/sup&gt;"},"properties":{"noteIndex":0},"schema":"https://github.com/citation-style-language/schema/raw/master/csl-citation.json"}</w:instrText>
      </w:r>
      <w:r w:rsidR="00EB45E1">
        <w:rPr>
          <w:rFonts w:ascii="Times New Roman" w:hAnsi="Times New Roman" w:cs="Times New Roman"/>
        </w:rPr>
        <w:fldChar w:fldCharType="separate"/>
      </w:r>
      <w:r w:rsidR="000475DF" w:rsidRPr="000475DF">
        <w:rPr>
          <w:rFonts w:ascii="Times New Roman" w:hAnsi="Times New Roman" w:cs="Times New Roman"/>
          <w:noProof/>
          <w:vertAlign w:val="superscript"/>
        </w:rPr>
        <w:t>32–34</w:t>
      </w:r>
      <w:r w:rsidR="00EB45E1">
        <w:rPr>
          <w:rFonts w:ascii="Times New Roman" w:hAnsi="Times New Roman" w:cs="Times New Roman"/>
        </w:rPr>
        <w:fldChar w:fldCharType="end"/>
      </w:r>
      <w:r w:rsidRPr="00AE0186">
        <w:rPr>
          <w:rFonts w:ascii="Times New Roman" w:hAnsi="Times New Roman" w:cs="Times New Roman"/>
        </w:rPr>
        <w:t xml:space="preserve">. </w:t>
      </w:r>
    </w:p>
    <w:p w14:paraId="7F67B856" w14:textId="2162BEB0" w:rsidR="00DD6964" w:rsidRDefault="00AE0186" w:rsidP="00DD6964">
      <w:pPr>
        <w:spacing w:line="240" w:lineRule="auto"/>
        <w:jc w:val="both"/>
        <w:rPr>
          <w:rFonts w:ascii="Times New Roman" w:hAnsi="Times New Roman" w:cs="Times New Roman"/>
        </w:rPr>
      </w:pPr>
      <w:r w:rsidRPr="00AE0186">
        <w:rPr>
          <w:rFonts w:ascii="Times New Roman" w:hAnsi="Times New Roman" w:cs="Times New Roman"/>
        </w:rPr>
        <w:t xml:space="preserve">Some potential limitations of this study should be noted. 1) Some correlations may have been obscured by the temporal discordance between DCE-MRI experiments (day 8) and tissue extraction (day 13) in 4/5 tumours. It is likely that the tumour biological characteristics evolved between day 8 and 13, which may have led to false negative results, </w:t>
      </w:r>
      <w:r w:rsidRPr="00AE0186">
        <w:rPr>
          <w:rFonts w:ascii="Times New Roman" w:hAnsi="Times New Roman" w:cs="Times New Roman"/>
          <w:i/>
        </w:rPr>
        <w:t>i.e.</w:t>
      </w:r>
      <w:r w:rsidRPr="00AE0186">
        <w:rPr>
          <w:rFonts w:ascii="Times New Roman" w:hAnsi="Times New Roman" w:cs="Times New Roman"/>
        </w:rPr>
        <w:t xml:space="preserve"> reduced or missed correlations. However, more than 50 % of the data were from tumour </w:t>
      </w:r>
      <w:r w:rsidR="00235085">
        <w:rPr>
          <w:rFonts w:ascii="Times New Roman" w:hAnsi="Times New Roman" w:cs="Times New Roman"/>
        </w:rPr>
        <w:t>2</w:t>
      </w:r>
      <w:r w:rsidR="00DA6BB3">
        <w:rPr>
          <w:rFonts w:ascii="Times New Roman" w:hAnsi="Times New Roman" w:cs="Times New Roman"/>
        </w:rPr>
        <w:t xml:space="preserve">, </w:t>
      </w:r>
      <w:r w:rsidRPr="00AE0186">
        <w:rPr>
          <w:rFonts w:ascii="Times New Roman" w:hAnsi="Times New Roman" w:cs="Times New Roman"/>
        </w:rPr>
        <w:t xml:space="preserve">imaged and harvested on the same day. 2) The analyses were based on data from five tumours only. This was partly due to the index calculations requiring extensive data processing times due to the immense amount of data associated with digitized histological images of </w:t>
      </w:r>
      <w:r w:rsidRPr="007B3B41">
        <w:rPr>
          <w:rFonts w:ascii="Times New Roman" w:hAnsi="Times New Roman" w:cs="Times New Roman"/>
        </w:rPr>
        <w:t xml:space="preserve">microscopic resolution. Furthermore, our own tumour inclusion criteria, namely high image quality, minimal </w:t>
      </w:r>
      <w:r w:rsidR="008C3D82" w:rsidRPr="007B3B41">
        <w:rPr>
          <w:rFonts w:ascii="Times New Roman" w:hAnsi="Times New Roman" w:cs="Times New Roman"/>
        </w:rPr>
        <w:t>artefacts</w:t>
      </w:r>
      <w:r w:rsidRPr="007B3B41">
        <w:rPr>
          <w:rFonts w:ascii="Times New Roman" w:hAnsi="Times New Roman" w:cs="Times New Roman"/>
        </w:rPr>
        <w:t xml:space="preserve"> on histological sections and adequate landmarks for proper image registration, reduced the number of tumours for evaluation</w:t>
      </w:r>
      <w:r w:rsidRPr="00AE0186">
        <w:rPr>
          <w:rFonts w:ascii="Times New Roman" w:hAnsi="Times New Roman" w:cs="Times New Roman"/>
        </w:rPr>
        <w:t>. However, the variation of indices within tumours seems greater than the variation between tumours with some exceptions (</w:t>
      </w:r>
      <w:r w:rsidR="008070BF">
        <w:rPr>
          <w:rFonts w:ascii="Times New Roman" w:hAnsi="Times New Roman" w:cs="Times New Roman"/>
        </w:rPr>
        <w:t>Figure 4</w:t>
      </w:r>
      <w:r w:rsidRPr="00AE0186">
        <w:rPr>
          <w:rFonts w:ascii="Times New Roman" w:hAnsi="Times New Roman" w:cs="Times New Roman"/>
        </w:rPr>
        <w:t xml:space="preserve">), which indicates that additional tumours would add little information. 3) As mentioned above, a lack of landmarks in central tumours reduced the amount of data from those regions, which may have limited </w:t>
      </w:r>
      <w:r w:rsidRPr="00AE0186">
        <w:rPr>
          <w:rFonts w:ascii="Times New Roman" w:hAnsi="Times New Roman" w:cs="Times New Roman"/>
        </w:rPr>
        <w:lastRenderedPageBreak/>
        <w:t>the range of biological characteristics evaluated. To address this problem, other methods to ascertain proper registration are required. 4) No quantitative evaluation of the registration accuracy was made in this study, and the landmark-based approach for image registration always include the risk of introducing false correlations. A more objective approach would be to use non-lesion features, such as markers outside the tumour, but intra-tumour registration may be degraded by such an approach.</w:t>
      </w:r>
      <w:r w:rsidR="008C3D82">
        <w:rPr>
          <w:rFonts w:ascii="Times New Roman" w:hAnsi="Times New Roman" w:cs="Times New Roman"/>
        </w:rPr>
        <w:t xml:space="preserve"> 5) </w:t>
      </w:r>
      <w:r w:rsidR="002A1083">
        <w:rPr>
          <w:rFonts w:ascii="Times New Roman" w:hAnsi="Times New Roman" w:cs="Times New Roman"/>
        </w:rPr>
        <w:t>The 2</w:t>
      </w:r>
      <w:r w:rsidR="00E44BCC">
        <w:rPr>
          <w:rFonts w:ascii="Times New Roman" w:hAnsi="Times New Roman" w:cs="Times New Roman"/>
        </w:rPr>
        <w:t>D</w:t>
      </w:r>
      <w:r w:rsidR="002A1083">
        <w:rPr>
          <w:rFonts w:ascii="Times New Roman" w:hAnsi="Times New Roman" w:cs="Times New Roman"/>
        </w:rPr>
        <w:t xml:space="preserve"> representation of the tumour tissue provided by the histological sections makes the method </w:t>
      </w:r>
      <w:r w:rsidR="009044BF">
        <w:rPr>
          <w:rFonts w:ascii="Times New Roman" w:hAnsi="Times New Roman" w:cs="Times New Roman"/>
        </w:rPr>
        <w:t>in</w:t>
      </w:r>
      <w:r w:rsidR="002A1083">
        <w:rPr>
          <w:rFonts w:ascii="Times New Roman" w:hAnsi="Times New Roman" w:cs="Times New Roman"/>
        </w:rPr>
        <w:t>sensitive to tumour heter</w:t>
      </w:r>
      <w:r w:rsidR="0044024A">
        <w:rPr>
          <w:rFonts w:ascii="Times New Roman" w:hAnsi="Times New Roman" w:cs="Times New Roman"/>
        </w:rPr>
        <w:t xml:space="preserve">ogeneity in the </w:t>
      </w:r>
      <w:r w:rsidR="009044BF">
        <w:rPr>
          <w:rFonts w:ascii="Times New Roman" w:hAnsi="Times New Roman" w:cs="Times New Roman"/>
        </w:rPr>
        <w:t>dimension of the MR slice thickness. Since variations of the biological features investigated can be seen to vary even over the dimensions of a sample (</w:t>
      </w:r>
      <w:r w:rsidR="009044BF" w:rsidRPr="00230E76">
        <w:rPr>
          <w:rFonts w:ascii="Times New Roman" w:hAnsi="Times New Roman" w:cs="Times New Roman"/>
          <w:i/>
        </w:rPr>
        <w:t>e.g</w:t>
      </w:r>
      <w:r w:rsidR="009044BF">
        <w:rPr>
          <w:rFonts w:ascii="Times New Roman" w:hAnsi="Times New Roman" w:cs="Times New Roman"/>
        </w:rPr>
        <w:t>., Figure 3), it is obvious that variations over the distance of an MR slice (</w:t>
      </w:r>
      <w:r w:rsidR="00C02C7E">
        <w:rPr>
          <w:rFonts w:ascii="Times New Roman" w:hAnsi="Times New Roman" w:cs="Times New Roman"/>
        </w:rPr>
        <w:t>4 times the sample dimensions)</w:t>
      </w:r>
      <w:r w:rsidR="009044BF">
        <w:rPr>
          <w:rFonts w:ascii="Times New Roman" w:hAnsi="Times New Roman" w:cs="Times New Roman"/>
        </w:rPr>
        <w:t xml:space="preserve"> </w:t>
      </w:r>
      <w:r w:rsidR="00C02C7E">
        <w:rPr>
          <w:rFonts w:ascii="Times New Roman" w:hAnsi="Times New Roman" w:cs="Times New Roman"/>
        </w:rPr>
        <w:t xml:space="preserve">will influence the accuracy of the index calculations. </w:t>
      </w:r>
      <w:r w:rsidR="00111998">
        <w:rPr>
          <w:rFonts w:ascii="Times New Roman" w:hAnsi="Times New Roman" w:cs="Times New Roman"/>
        </w:rPr>
        <w:t xml:space="preserve">A possible remedy would be to collect more histological sections within the distance covered by the MR slice, with enough separation to get a better representation of the imaged tumour tissue. For this to improve the accuracy, however, would require </w:t>
      </w:r>
      <w:r w:rsidR="00111E07">
        <w:rPr>
          <w:rFonts w:ascii="Times New Roman" w:hAnsi="Times New Roman" w:cs="Times New Roman"/>
        </w:rPr>
        <w:t xml:space="preserve">better </w:t>
      </w:r>
      <w:r w:rsidR="00111998">
        <w:rPr>
          <w:rFonts w:ascii="Times New Roman" w:hAnsi="Times New Roman" w:cs="Times New Roman"/>
        </w:rPr>
        <w:t>knowledge of</w:t>
      </w:r>
      <w:r w:rsidR="00111E07">
        <w:rPr>
          <w:rFonts w:ascii="Times New Roman" w:hAnsi="Times New Roman" w:cs="Times New Roman"/>
        </w:rPr>
        <w:t xml:space="preserve"> the precise location of the beginning and end of the acquired image slice, and thus a more sophisticated system for tracking those locations than offered by manual application of tissue ink or similar fiducial markers. </w:t>
      </w:r>
      <w:r w:rsidR="00DD6964">
        <w:rPr>
          <w:rFonts w:ascii="Times New Roman" w:hAnsi="Times New Roman" w:cs="Times New Roman"/>
        </w:rPr>
        <w:t xml:space="preserve">There are also substantial processing times and costs involved in histological processing and post-processing of the digitized images that would have to be considered. </w:t>
      </w:r>
    </w:p>
    <w:p w14:paraId="45E673B8"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Conclusions</w:t>
      </w:r>
    </w:p>
    <w:p w14:paraId="34F2407F" w14:textId="5C764266"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In this work, MR parameters </w:t>
      </w:r>
      <w:r w:rsidR="00AF05AE">
        <w:rPr>
          <w:rFonts w:ascii="Times New Roman" w:hAnsi="Times New Roman" w:cs="Times New Roman"/>
        </w:rPr>
        <w:t xml:space="preserve">are correlated </w:t>
      </w:r>
      <w:r w:rsidRPr="00AE0186">
        <w:rPr>
          <w:rFonts w:ascii="Times New Roman" w:hAnsi="Times New Roman" w:cs="Times New Roman"/>
        </w:rPr>
        <w:t xml:space="preserve">with </w:t>
      </w:r>
      <w:r w:rsidR="007E71EC">
        <w:rPr>
          <w:rFonts w:ascii="Times New Roman" w:hAnsi="Times New Roman" w:cs="Times New Roman"/>
        </w:rPr>
        <w:t xml:space="preserve">spatially registered </w:t>
      </w:r>
      <w:r w:rsidRPr="00AE0186">
        <w:rPr>
          <w:rFonts w:ascii="Times New Roman" w:hAnsi="Times New Roman" w:cs="Times New Roman"/>
        </w:rPr>
        <w:t xml:space="preserve">histological parameters </w:t>
      </w:r>
      <w:r w:rsidR="007E71EC">
        <w:rPr>
          <w:rFonts w:ascii="Times New Roman" w:hAnsi="Times New Roman" w:cs="Times New Roman"/>
        </w:rPr>
        <w:t>of the imaged tumour tissue</w:t>
      </w:r>
      <w:r w:rsidRPr="00AE0186">
        <w:rPr>
          <w:rFonts w:ascii="Times New Roman" w:hAnsi="Times New Roman" w:cs="Times New Roman"/>
        </w:rPr>
        <w:t>. Registration problems due to MR art</w:t>
      </w:r>
      <w:r w:rsidR="007E71EC">
        <w:rPr>
          <w:rFonts w:ascii="Times New Roman" w:hAnsi="Times New Roman" w:cs="Times New Roman"/>
        </w:rPr>
        <w:t>e</w:t>
      </w:r>
      <w:r w:rsidRPr="00AE0186">
        <w:rPr>
          <w:rFonts w:ascii="Times New Roman" w:hAnsi="Times New Roman" w:cs="Times New Roman"/>
        </w:rPr>
        <w:t xml:space="preserve">facts or morphologically distorted histological sections were </w:t>
      </w:r>
      <w:r w:rsidR="00456238">
        <w:rPr>
          <w:rFonts w:ascii="Times New Roman" w:hAnsi="Times New Roman" w:cs="Times New Roman"/>
        </w:rPr>
        <w:t>minimized</w:t>
      </w:r>
      <w:r w:rsidR="00456238" w:rsidRPr="00AE0186">
        <w:rPr>
          <w:rFonts w:ascii="Times New Roman" w:hAnsi="Times New Roman" w:cs="Times New Roman"/>
        </w:rPr>
        <w:t xml:space="preserve"> </w:t>
      </w:r>
      <w:r w:rsidRPr="00AE0186">
        <w:rPr>
          <w:rFonts w:ascii="Times New Roman" w:hAnsi="Times New Roman" w:cs="Times New Roman"/>
        </w:rPr>
        <w:t xml:space="preserve">by sequential registration of tumour sub-regions, and objective evaluation on a substantial amount of data samples by statistical regression methods was enabled by the supervised automatic histological indexing method. </w:t>
      </w:r>
    </w:p>
    <w:p w14:paraId="4CA11C22"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Predictive power and statistical significance was high for several of the correlations found between MR parameters and histological indices. Models predicting HEcount and Ki67count had strongest predictive power, while models describing MVD and FD had slightly lower prediction capabilities. Altogether, HEcount could be predicted by three DCE-MRI parameters related mainly to perfusion (</w:t>
      </w:r>
      <w:r w:rsidRPr="00AE0186">
        <w:rPr>
          <w:rFonts w:ascii="Times New Roman" w:hAnsi="Times New Roman" w:cs="Times New Roman"/>
          <w:i/>
        </w:rPr>
        <w:t>TOP</w:t>
      </w:r>
      <w:r w:rsidRPr="00AE0186">
        <w:rPr>
          <w:rFonts w:ascii="Times New Roman" w:hAnsi="Times New Roman" w:cs="Times New Roman"/>
        </w:rPr>
        <w:t xml:space="preserve">, </w:t>
      </w:r>
      <w:r w:rsidRPr="00AE0186">
        <w:rPr>
          <w:rFonts w:ascii="Times New Roman" w:hAnsi="Times New Roman" w:cs="Times New Roman"/>
          <w:i/>
        </w:rPr>
        <w:t>TTP</w:t>
      </w:r>
      <w:r w:rsidRPr="00AE0186">
        <w:rPr>
          <w:rFonts w:ascii="Times New Roman" w:hAnsi="Times New Roman" w:cs="Times New Roman"/>
        </w:rPr>
        <w:t xml:space="preserve"> and </w:t>
      </w:r>
      <w:r w:rsidRPr="00AE0186">
        <w:rPr>
          <w:rFonts w:ascii="Times New Roman" w:hAnsi="Times New Roman" w:cs="Times New Roman"/>
          <w:i/>
        </w:rPr>
        <w:t>BE</w:t>
      </w:r>
      <w:r w:rsidRPr="00AE0186">
        <w:rPr>
          <w:rFonts w:ascii="Times New Roman" w:hAnsi="Times New Roman" w:cs="Times New Roman"/>
        </w:rPr>
        <w:t>); Ki67count could be predicted by one DCE-MRI parameter (</w:t>
      </w:r>
      <w:r w:rsidRPr="00AE0186">
        <w:rPr>
          <w:rFonts w:ascii="Times New Roman" w:hAnsi="Times New Roman" w:cs="Times New Roman"/>
          <w:i/>
        </w:rPr>
        <w:t>IS</w:t>
      </w:r>
      <w:r w:rsidRPr="00AE0186">
        <w:rPr>
          <w:rFonts w:ascii="Times New Roman" w:hAnsi="Times New Roman" w:cs="Times New Roman"/>
        </w:rPr>
        <w:t>, reflecting perfusion) and one relaxation parameter related to macromolecular content (</w:t>
      </w:r>
      <w:r w:rsidRPr="00AE0186">
        <w:rPr>
          <w:rFonts w:ascii="Times New Roman" w:hAnsi="Times New Roman" w:cs="Times New Roman"/>
          <w:i/>
        </w:rPr>
        <w:t>T1</w:t>
      </w:r>
      <w:r w:rsidRPr="00AE0186">
        <w:rPr>
          <w:rFonts w:ascii="Times New Roman" w:hAnsi="Times New Roman" w:cs="Times New Roman"/>
        </w:rPr>
        <w:t xml:space="preserve">); MVD could also be predicted by </w:t>
      </w:r>
      <w:r w:rsidRPr="00AE0186">
        <w:rPr>
          <w:rFonts w:ascii="Times New Roman" w:hAnsi="Times New Roman" w:cs="Times New Roman"/>
          <w:i/>
        </w:rPr>
        <w:t>T1</w:t>
      </w:r>
      <w:r w:rsidRPr="00AE0186">
        <w:rPr>
          <w:rFonts w:ascii="Times New Roman" w:hAnsi="Times New Roman" w:cs="Times New Roman"/>
        </w:rPr>
        <w:t>, and by a DCE-MRI parameter reflecting the amount of contrast reaching the tissue (</w:t>
      </w:r>
      <w:r w:rsidRPr="00AE0186">
        <w:rPr>
          <w:rFonts w:ascii="Times New Roman" w:hAnsi="Times New Roman" w:cs="Times New Roman"/>
          <w:i/>
        </w:rPr>
        <w:t>SEmax</w:t>
      </w:r>
      <w:r w:rsidRPr="00AE0186">
        <w:rPr>
          <w:rFonts w:ascii="Times New Roman" w:hAnsi="Times New Roman" w:cs="Times New Roman"/>
        </w:rPr>
        <w:t>); FD could be predicted by one IVIM-DWI parameter reflecting fractional volume of actively perfused tissue (</w:t>
      </w:r>
      <w:r w:rsidRPr="00AE0186">
        <w:rPr>
          <w:rFonts w:ascii="Times New Roman" w:hAnsi="Times New Roman" w:cs="Times New Roman"/>
          <w:i/>
        </w:rPr>
        <w:t>f</w:t>
      </w:r>
      <w:r w:rsidRPr="00AE0186">
        <w:rPr>
          <w:rFonts w:ascii="Times New Roman" w:hAnsi="Times New Roman" w:cs="Times New Roman"/>
        </w:rPr>
        <w:t xml:space="preserve">). This means that, in total, seven MR parameters are capable of predicting apoptosis, proliferation, vessel density or fibrosis in the studied tumour type. Apart from the similarly defined </w:t>
      </w:r>
      <w:r w:rsidRPr="00AE0186">
        <w:rPr>
          <w:rFonts w:ascii="Times New Roman" w:hAnsi="Times New Roman" w:cs="Times New Roman"/>
          <w:i/>
        </w:rPr>
        <w:t>TOP</w:t>
      </w:r>
      <w:r w:rsidRPr="00AE0186">
        <w:rPr>
          <w:rFonts w:ascii="Times New Roman" w:hAnsi="Times New Roman" w:cs="Times New Roman"/>
        </w:rPr>
        <w:t xml:space="preserve"> and </w:t>
      </w:r>
      <w:r w:rsidRPr="00AE0186">
        <w:rPr>
          <w:rFonts w:ascii="Times New Roman" w:hAnsi="Times New Roman" w:cs="Times New Roman"/>
          <w:i/>
        </w:rPr>
        <w:t xml:space="preserve">TTP, </w:t>
      </w:r>
      <w:r w:rsidRPr="00AE0186">
        <w:rPr>
          <w:rFonts w:ascii="Times New Roman" w:hAnsi="Times New Roman" w:cs="Times New Roman"/>
        </w:rPr>
        <w:t xml:space="preserve">the data provided by these MR parameters seem to contain unique information based on cluster analysis. </w:t>
      </w:r>
    </w:p>
    <w:p w14:paraId="5BC10F94" w14:textId="77777777" w:rsidR="00AE0186" w:rsidRPr="00AE0186" w:rsidRDefault="00AE0186" w:rsidP="00AE0186">
      <w:pPr>
        <w:spacing w:line="240" w:lineRule="auto"/>
        <w:jc w:val="both"/>
        <w:rPr>
          <w:rFonts w:ascii="Times New Roman" w:hAnsi="Times New Roman" w:cs="Times New Roman"/>
        </w:rPr>
      </w:pPr>
      <w:r w:rsidRPr="00AE0186">
        <w:rPr>
          <w:rFonts w:ascii="Times New Roman" w:hAnsi="Times New Roman" w:cs="Times New Roman"/>
        </w:rPr>
        <w:t xml:space="preserve">This work demonstrates the importance of combining data from several MR methods in order to gain better knowledge of tumour tissue characteristics, and we believe the information contained in this work will be valuable for further studies on mpMR evaluation of tumour tissue and response assessment. Further work is needed, such as improvements of registration procedures and MR post-processing methods. </w:t>
      </w:r>
    </w:p>
    <w:p w14:paraId="187F88B2" w14:textId="77777777" w:rsidR="00AE0186" w:rsidRPr="00AE0186" w:rsidRDefault="00AE0186" w:rsidP="00AE0186">
      <w:pPr>
        <w:pStyle w:val="Rubrik1"/>
        <w:rPr>
          <w:rFonts w:ascii="Times New Roman" w:hAnsi="Times New Roman" w:cs="Times New Roman"/>
        </w:rPr>
      </w:pPr>
      <w:r w:rsidRPr="00AE0186">
        <w:rPr>
          <w:rFonts w:ascii="Times New Roman" w:hAnsi="Times New Roman" w:cs="Times New Roman"/>
        </w:rPr>
        <w:t>Acknowledgements</w:t>
      </w:r>
    </w:p>
    <w:p w14:paraId="6FABC5AA" w14:textId="77777777" w:rsidR="00AE0186" w:rsidRPr="00AE0186" w:rsidRDefault="00AE0186" w:rsidP="00AE0186">
      <w:pPr>
        <w:rPr>
          <w:rFonts w:ascii="Times New Roman" w:hAnsi="Times New Roman" w:cs="Times New Roman"/>
        </w:rPr>
      </w:pPr>
      <w:r w:rsidRPr="00AE0186">
        <w:rPr>
          <w:rFonts w:ascii="Times New Roman" w:hAnsi="Times New Roman" w:cs="Times New Roman"/>
        </w:rPr>
        <w:t xml:space="preserve">The authors are grateful to Lilian Karlsson, Ann Wikström and Gülay Altiparmak for skilful technical assistance. </w:t>
      </w:r>
    </w:p>
    <w:p w14:paraId="2BCB0305" w14:textId="77777777" w:rsidR="00CD7015" w:rsidRDefault="00CD7015" w:rsidP="00CD7015">
      <w:pPr>
        <w:pStyle w:val="Rubrik1"/>
        <w:rPr>
          <w:rFonts w:ascii="Times New Roman" w:hAnsi="Times New Roman" w:cs="Times New Roman"/>
        </w:rPr>
      </w:pPr>
      <w:r>
        <w:rPr>
          <w:rFonts w:ascii="Times New Roman" w:hAnsi="Times New Roman" w:cs="Times New Roman"/>
        </w:rPr>
        <w:t>Funding</w:t>
      </w:r>
    </w:p>
    <w:p w14:paraId="263F9ED3" w14:textId="77777777" w:rsidR="00AE0186" w:rsidRDefault="00AE0186" w:rsidP="00AE0186">
      <w:pPr>
        <w:rPr>
          <w:rFonts w:ascii="Times New Roman" w:hAnsi="Times New Roman" w:cs="Times New Roman"/>
        </w:rPr>
      </w:pPr>
      <w:r w:rsidRPr="00AE0186">
        <w:rPr>
          <w:rFonts w:ascii="Times New Roman" w:hAnsi="Times New Roman" w:cs="Times New Roman"/>
        </w:rPr>
        <w:t xml:space="preserve">This work </w:t>
      </w:r>
      <w:r w:rsidRPr="003305A0">
        <w:rPr>
          <w:rFonts w:ascii="Times New Roman" w:hAnsi="Times New Roman" w:cs="Times New Roman"/>
        </w:rPr>
        <w:t xml:space="preserve">was supported by the Swedish Research Council [grant number 21073]; the Swedish Cancer Society [grant number </w:t>
      </w:r>
      <w:r w:rsidRPr="003305A0">
        <w:rPr>
          <w:rFonts w:ascii="Times New Roman" w:hAnsi="Times New Roman" w:cs="Times New Roman"/>
          <w:iCs/>
          <w:lang w:val="en-US"/>
        </w:rPr>
        <w:t>2016/692</w:t>
      </w:r>
      <w:r w:rsidRPr="003305A0">
        <w:rPr>
          <w:rFonts w:ascii="Times New Roman" w:hAnsi="Times New Roman" w:cs="Times New Roman"/>
        </w:rPr>
        <w:t xml:space="preserve">]; BioCARE – a National Strategic Research Program at the University of Gothenburg; the King Gustav V Jubilee Clinic Cancer Research Foundation; the Sahlgrenska University Hospital Research Funds; the Assar Gabrielsson Cancer Research Foundation; </w:t>
      </w:r>
      <w:r w:rsidRPr="003305A0">
        <w:rPr>
          <w:rFonts w:ascii="Times New Roman" w:hAnsi="Times New Roman" w:cs="Times New Roman"/>
        </w:rPr>
        <w:lastRenderedPageBreak/>
        <w:t>the Adlerbertska Research Fund; the Wilhelm and Martina Lundgren science trust fund; the Royal Society of Arts and Sciences in Gothenburg (KVVS).</w:t>
      </w:r>
      <w:r w:rsidRPr="003305A0" w:rsidDel="009630AF">
        <w:rPr>
          <w:rFonts w:ascii="Times New Roman" w:hAnsi="Times New Roman" w:cs="Times New Roman"/>
        </w:rPr>
        <w:t xml:space="preserve"> </w:t>
      </w:r>
      <w:bookmarkStart w:id="0" w:name="article1.body1.sec4.p3"/>
      <w:bookmarkStart w:id="1" w:name="article1.body1.sec4.p4"/>
      <w:bookmarkStart w:id="2" w:name="article1.body1.sec4.p5"/>
      <w:bookmarkEnd w:id="0"/>
      <w:bookmarkEnd w:id="1"/>
      <w:bookmarkEnd w:id="2"/>
    </w:p>
    <w:p w14:paraId="71BCCD7B" w14:textId="77777777" w:rsidR="00067D62" w:rsidRDefault="00067D62" w:rsidP="00067D62">
      <w:pPr>
        <w:pStyle w:val="Rubrik1"/>
        <w:rPr>
          <w:rFonts w:ascii="Times New Roman" w:hAnsi="Times New Roman" w:cs="Times New Roman"/>
        </w:rPr>
      </w:pPr>
      <w:r w:rsidRPr="003305A0">
        <w:rPr>
          <w:rFonts w:ascii="Times New Roman" w:hAnsi="Times New Roman" w:cs="Times New Roman"/>
        </w:rPr>
        <w:t>References</w:t>
      </w:r>
      <w:r>
        <w:rPr>
          <w:rFonts w:ascii="Times New Roman" w:hAnsi="Times New Roman" w:cs="Times New Roman"/>
        </w:rPr>
        <w:t xml:space="preserve"> </w:t>
      </w:r>
    </w:p>
    <w:p w14:paraId="2764C2F9" w14:textId="1C50A557" w:rsidR="00A73396" w:rsidRPr="00A73396" w:rsidRDefault="00067D62" w:rsidP="00A73396">
      <w:pPr>
        <w:widowControl w:val="0"/>
        <w:autoSpaceDE w:val="0"/>
        <w:autoSpaceDN w:val="0"/>
        <w:adjustRightInd w:val="0"/>
        <w:spacing w:line="240" w:lineRule="auto"/>
        <w:ind w:left="640" w:hanging="640"/>
        <w:rPr>
          <w:rFonts w:ascii="Times New Roman" w:hAnsi="Times New Roman" w:cs="Times New Roman"/>
          <w:noProof/>
          <w:szCs w:val="24"/>
        </w:rPr>
      </w:pPr>
      <w:r>
        <w:rPr>
          <w:rFonts w:ascii="Times New Roman" w:hAnsi="Times New Roman" w:cs="Times New Roman"/>
        </w:rPr>
        <w:fldChar w:fldCharType="begin" w:fldLock="1"/>
      </w:r>
      <w:r w:rsidRPr="00230E76">
        <w:rPr>
          <w:rFonts w:ascii="Times New Roman" w:hAnsi="Times New Roman" w:cs="Times New Roman"/>
          <w:lang w:val="en-US"/>
        </w:rPr>
        <w:instrText xml:space="preserve">ADDIN Mendeley Bibliography CSL_BIBLIOGRAPHY </w:instrText>
      </w:r>
      <w:r>
        <w:rPr>
          <w:rFonts w:ascii="Times New Roman" w:hAnsi="Times New Roman" w:cs="Times New Roman"/>
        </w:rPr>
        <w:fldChar w:fldCharType="separate"/>
      </w:r>
      <w:r w:rsidR="00A73396" w:rsidRPr="00A73396">
        <w:rPr>
          <w:rFonts w:ascii="Times New Roman" w:hAnsi="Times New Roman" w:cs="Times New Roman"/>
          <w:noProof/>
          <w:szCs w:val="24"/>
        </w:rPr>
        <w:t xml:space="preserve">1. </w:t>
      </w:r>
      <w:r w:rsidR="00A73396" w:rsidRPr="00A73396">
        <w:rPr>
          <w:rFonts w:ascii="Times New Roman" w:hAnsi="Times New Roman" w:cs="Times New Roman"/>
          <w:noProof/>
          <w:szCs w:val="24"/>
        </w:rPr>
        <w:tab/>
        <w:t xml:space="preserve">Figueiras RG, Padhani AR, Goh VJ, Vilanova JC, Gonzalez SB, Martin C V., Caamano  a. G, Naveira AB, Choyke PL. Novel Oncologic Drugs: What They Do and How They Affect Images. </w:t>
      </w:r>
      <w:r w:rsidR="00A73396" w:rsidRPr="00A73396">
        <w:rPr>
          <w:rFonts w:ascii="Times New Roman" w:hAnsi="Times New Roman" w:cs="Times New Roman"/>
          <w:i/>
          <w:iCs/>
          <w:noProof/>
          <w:szCs w:val="24"/>
        </w:rPr>
        <w:t>Radiographics</w:t>
      </w:r>
      <w:r w:rsidR="00A73396" w:rsidRPr="00A73396">
        <w:rPr>
          <w:rFonts w:ascii="Times New Roman" w:hAnsi="Times New Roman" w:cs="Times New Roman"/>
          <w:noProof/>
          <w:szCs w:val="24"/>
        </w:rPr>
        <w:t>. 2011;31(7):2059-2091. doi:10.1148/rg.317115108</w:t>
      </w:r>
    </w:p>
    <w:p w14:paraId="5F988067"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 </w:t>
      </w:r>
      <w:r w:rsidRPr="00A73396">
        <w:rPr>
          <w:rFonts w:ascii="Times New Roman" w:hAnsi="Times New Roman" w:cs="Times New Roman"/>
          <w:noProof/>
          <w:szCs w:val="24"/>
        </w:rPr>
        <w:tab/>
        <w:t xml:space="preserve">Eisenhauer EA, Therasse P, Bogaerts J, Schwartz LH, Sargent D, Ford R, Dancey J, Arbuck S, Gwyther S, Mooney M, Rubinstein L, Shankar L, Dodd L, Kaplan R, Lacombe D, Verweij J. New response evaluation criteria in solid tumours: Revised RECIST guideline (version 1.1). </w:t>
      </w:r>
      <w:r w:rsidRPr="00A73396">
        <w:rPr>
          <w:rFonts w:ascii="Times New Roman" w:hAnsi="Times New Roman" w:cs="Times New Roman"/>
          <w:i/>
          <w:iCs/>
          <w:noProof/>
          <w:szCs w:val="24"/>
        </w:rPr>
        <w:t>Eur J Cancer</w:t>
      </w:r>
      <w:r w:rsidRPr="00A73396">
        <w:rPr>
          <w:rFonts w:ascii="Times New Roman" w:hAnsi="Times New Roman" w:cs="Times New Roman"/>
          <w:noProof/>
          <w:szCs w:val="24"/>
        </w:rPr>
        <w:t>. 2009;45(2):228-247. doi:10.1016/j.ejca.2008.10.026</w:t>
      </w:r>
    </w:p>
    <w:p w14:paraId="7882E73A"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 </w:t>
      </w:r>
      <w:r w:rsidRPr="00A73396">
        <w:rPr>
          <w:rFonts w:ascii="Times New Roman" w:hAnsi="Times New Roman" w:cs="Times New Roman"/>
          <w:noProof/>
          <w:szCs w:val="24"/>
        </w:rPr>
        <w:tab/>
        <w:t xml:space="preserve">Therasse P, Arbuck SG, Eisenhauer EA, Wanders J, Kaplan RS, Rubinstein L, Verweij J, Glabbeke M Van, Oosterom T Van, Christian MC, Gwyther SG. New Guidelines to Evaluate the Response to Treatment in Solid Tumors. </w:t>
      </w:r>
      <w:r w:rsidRPr="00A73396">
        <w:rPr>
          <w:rFonts w:ascii="Times New Roman" w:hAnsi="Times New Roman" w:cs="Times New Roman"/>
          <w:i/>
          <w:iCs/>
          <w:noProof/>
          <w:szCs w:val="24"/>
        </w:rPr>
        <w:t>Clin Trials</w:t>
      </w:r>
      <w:r w:rsidRPr="00A73396">
        <w:rPr>
          <w:rFonts w:ascii="Times New Roman" w:hAnsi="Times New Roman" w:cs="Times New Roman"/>
          <w:noProof/>
          <w:szCs w:val="24"/>
        </w:rPr>
        <w:t>. 2005;12(3):16-27.</w:t>
      </w:r>
    </w:p>
    <w:p w14:paraId="50ED86EB"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4. </w:t>
      </w:r>
      <w:r w:rsidRPr="00A73396">
        <w:rPr>
          <w:rFonts w:ascii="Times New Roman" w:hAnsi="Times New Roman" w:cs="Times New Roman"/>
          <w:noProof/>
          <w:szCs w:val="24"/>
        </w:rPr>
        <w:tab/>
        <w:t>Montelius M, Spetz J, Jalnefjord O, Berger E, Nilsson O, Ljungberg M, Forssell-Aronsson E. Identification of Potential MR-Derived Biomarkers for Tumor Tissue Response to</w:t>
      </w:r>
      <w:r w:rsidRPr="00A73396">
        <w:rPr>
          <w:rFonts w:ascii="Times New Roman" w:hAnsi="Times New Roman" w:cs="Times New Roman"/>
          <w:noProof/>
          <w:szCs w:val="24"/>
          <w:vertAlign w:val="superscript"/>
        </w:rPr>
        <w:t>177</w:t>
      </w:r>
      <w:r w:rsidRPr="00A73396">
        <w:rPr>
          <w:rFonts w:ascii="Times New Roman" w:hAnsi="Times New Roman" w:cs="Times New Roman"/>
          <w:noProof/>
          <w:szCs w:val="24"/>
        </w:rPr>
        <w:t xml:space="preserve">Lu-Octreotate Therapy in an Animal Model of Small Intestine Neuroendocrine Tumor. </w:t>
      </w:r>
      <w:r w:rsidRPr="00A73396">
        <w:rPr>
          <w:rFonts w:ascii="Times New Roman" w:hAnsi="Times New Roman" w:cs="Times New Roman"/>
          <w:i/>
          <w:iCs/>
          <w:noProof/>
          <w:szCs w:val="24"/>
        </w:rPr>
        <w:t>Transl Oncol</w:t>
      </w:r>
      <w:r w:rsidRPr="00A73396">
        <w:rPr>
          <w:rFonts w:ascii="Times New Roman" w:hAnsi="Times New Roman" w:cs="Times New Roman"/>
          <w:noProof/>
          <w:szCs w:val="24"/>
        </w:rPr>
        <w:t>. 2018;11(2). doi:10.1016/j.tranon.2017.12.003</w:t>
      </w:r>
    </w:p>
    <w:p w14:paraId="435DC01C"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5. </w:t>
      </w:r>
      <w:r w:rsidRPr="00A73396">
        <w:rPr>
          <w:rFonts w:ascii="Times New Roman" w:hAnsi="Times New Roman" w:cs="Times New Roman"/>
          <w:noProof/>
          <w:szCs w:val="24"/>
        </w:rPr>
        <w:tab/>
        <w:t xml:space="preserve">Knopp M V, von Tengg-Kobligk H, Choyke PL. Functional magnetic resonance imaging in oncology for diagnosis and therapy monitoring. </w:t>
      </w:r>
      <w:r w:rsidRPr="00A73396">
        <w:rPr>
          <w:rFonts w:ascii="Times New Roman" w:hAnsi="Times New Roman" w:cs="Times New Roman"/>
          <w:i/>
          <w:iCs/>
          <w:noProof/>
          <w:szCs w:val="24"/>
        </w:rPr>
        <w:t>Mol Cancer Ther</w:t>
      </w:r>
      <w:r w:rsidRPr="00A73396">
        <w:rPr>
          <w:rFonts w:ascii="Times New Roman" w:hAnsi="Times New Roman" w:cs="Times New Roman"/>
          <w:noProof/>
          <w:szCs w:val="24"/>
        </w:rPr>
        <w:t>. 2003;2(4):419-426.</w:t>
      </w:r>
    </w:p>
    <w:p w14:paraId="7E9FCABC"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6. </w:t>
      </w:r>
      <w:r w:rsidRPr="00A73396">
        <w:rPr>
          <w:rFonts w:ascii="Times New Roman" w:hAnsi="Times New Roman" w:cs="Times New Roman"/>
          <w:noProof/>
          <w:szCs w:val="24"/>
        </w:rPr>
        <w:tab/>
        <w:t xml:space="preserve">Le Bihan D, Breton E, Lallemand D, Aubin ML, Vignaud J, Laval-Jeantet M. Separation of diffusion and perfusion in intravoxel incoherent motion MR imaging. </w:t>
      </w:r>
      <w:r w:rsidRPr="00A73396">
        <w:rPr>
          <w:rFonts w:ascii="Times New Roman" w:hAnsi="Times New Roman" w:cs="Times New Roman"/>
          <w:i/>
          <w:iCs/>
          <w:noProof/>
          <w:szCs w:val="24"/>
        </w:rPr>
        <w:t>Radiology</w:t>
      </w:r>
      <w:r w:rsidRPr="00A73396">
        <w:rPr>
          <w:rFonts w:ascii="Times New Roman" w:hAnsi="Times New Roman" w:cs="Times New Roman"/>
          <w:noProof/>
          <w:szCs w:val="24"/>
        </w:rPr>
        <w:t>. 1988;168(2):497-505. doi:10.1148/radiology.168.2.3393671</w:t>
      </w:r>
    </w:p>
    <w:p w14:paraId="533182F6"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7. </w:t>
      </w:r>
      <w:r w:rsidRPr="00A73396">
        <w:rPr>
          <w:rFonts w:ascii="Times New Roman" w:hAnsi="Times New Roman" w:cs="Times New Roman"/>
          <w:noProof/>
          <w:szCs w:val="24"/>
        </w:rPr>
        <w:tab/>
        <w:t xml:space="preserve">Ravoori MK, Nishimura M, Singh SP, Lu C, Han L, Hobbs BP, Pradeep S, Choi HJ, Bankson JA, Sood AK, Kundra V. Tumor T1 Relaxation Time for Assessing Response to Bevacizumab Anti-Angiogenic Therapy in a Mouse Ovarian Cancer Model. </w:t>
      </w:r>
      <w:r w:rsidRPr="00A73396">
        <w:rPr>
          <w:rFonts w:ascii="Times New Roman" w:hAnsi="Times New Roman" w:cs="Times New Roman"/>
          <w:i/>
          <w:iCs/>
          <w:noProof/>
          <w:szCs w:val="24"/>
        </w:rPr>
        <w:t>PLoS One</w:t>
      </w:r>
      <w:r w:rsidRPr="00A73396">
        <w:rPr>
          <w:rFonts w:ascii="Times New Roman" w:hAnsi="Times New Roman" w:cs="Times New Roman"/>
          <w:noProof/>
          <w:szCs w:val="24"/>
        </w:rPr>
        <w:t>. 2015;10(6):e0131095. doi:10.1371/journal.pone.0131095</w:t>
      </w:r>
    </w:p>
    <w:p w14:paraId="2D79EA2A"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8. </w:t>
      </w:r>
      <w:r w:rsidRPr="00A73396">
        <w:rPr>
          <w:rFonts w:ascii="Times New Roman" w:hAnsi="Times New Roman" w:cs="Times New Roman"/>
          <w:noProof/>
          <w:szCs w:val="24"/>
        </w:rPr>
        <w:tab/>
        <w:t xml:space="preserve">Heijmen L, Ter Voert EEGW, Oyen WJG, Punt CJA, Van Spronsen DJ, Heerschap A, De Geus-Oei LF, Van Laarhoven HWM. Multimodality imaging to predict response to systemic treatment in patients with advanced colorectal cancer. </w:t>
      </w:r>
      <w:r w:rsidRPr="00A73396">
        <w:rPr>
          <w:rFonts w:ascii="Times New Roman" w:hAnsi="Times New Roman" w:cs="Times New Roman"/>
          <w:i/>
          <w:iCs/>
          <w:noProof/>
          <w:szCs w:val="24"/>
        </w:rPr>
        <w:t>PLoS One</w:t>
      </w:r>
      <w:r w:rsidRPr="00A73396">
        <w:rPr>
          <w:rFonts w:ascii="Times New Roman" w:hAnsi="Times New Roman" w:cs="Times New Roman"/>
          <w:noProof/>
          <w:szCs w:val="24"/>
        </w:rPr>
        <w:t>. 2015;10(4):1-13. doi:10.1371/journal.pone.0120823</w:t>
      </w:r>
    </w:p>
    <w:p w14:paraId="39191C15" w14:textId="77777777" w:rsidR="00A73396" w:rsidRPr="00872354"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lang w:val="sv-SE"/>
        </w:rPr>
      </w:pPr>
      <w:r w:rsidRPr="00A73396">
        <w:rPr>
          <w:rFonts w:ascii="Times New Roman" w:hAnsi="Times New Roman" w:cs="Times New Roman"/>
          <w:noProof/>
          <w:szCs w:val="24"/>
        </w:rPr>
        <w:t xml:space="preserve">9. </w:t>
      </w:r>
      <w:r w:rsidRPr="00A73396">
        <w:rPr>
          <w:rFonts w:ascii="Times New Roman" w:hAnsi="Times New Roman" w:cs="Times New Roman"/>
          <w:noProof/>
          <w:szCs w:val="24"/>
        </w:rPr>
        <w:tab/>
        <w:t xml:space="preserve">Moestue SA, Huuse EM, Lindholm EM, Bofin A, Engebraaten O, Mælandsmo GM, Akslen LA, Gribbestad IS. Low-molecular contrast agent dynamic contrast-enhanced (DCE)-MRI and diffusion-weighted (DW)-MRI in early assessment of bevacizumab treatment in breast cancer xenografts. </w:t>
      </w:r>
      <w:r w:rsidRPr="00872354">
        <w:rPr>
          <w:rFonts w:ascii="Times New Roman" w:hAnsi="Times New Roman" w:cs="Times New Roman"/>
          <w:i/>
          <w:iCs/>
          <w:noProof/>
          <w:szCs w:val="24"/>
          <w:lang w:val="sv-SE"/>
        </w:rPr>
        <w:t>J Magn Reson Imaging</w:t>
      </w:r>
      <w:r w:rsidRPr="00872354">
        <w:rPr>
          <w:rFonts w:ascii="Times New Roman" w:hAnsi="Times New Roman" w:cs="Times New Roman"/>
          <w:noProof/>
          <w:szCs w:val="24"/>
          <w:lang w:val="sv-SE"/>
        </w:rPr>
        <w:t>. 2013;38(5):1043-1053. doi:10.1002/jmri.24079</w:t>
      </w:r>
    </w:p>
    <w:p w14:paraId="13572EC5"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872354">
        <w:rPr>
          <w:rFonts w:ascii="Times New Roman" w:hAnsi="Times New Roman" w:cs="Times New Roman"/>
          <w:noProof/>
          <w:szCs w:val="24"/>
          <w:lang w:val="sv-SE"/>
        </w:rPr>
        <w:t xml:space="preserve">10. </w:t>
      </w:r>
      <w:r w:rsidRPr="00872354">
        <w:rPr>
          <w:rFonts w:ascii="Times New Roman" w:hAnsi="Times New Roman" w:cs="Times New Roman"/>
          <w:noProof/>
          <w:szCs w:val="24"/>
          <w:lang w:val="sv-SE"/>
        </w:rPr>
        <w:tab/>
        <w:t xml:space="preserve">Hompland T, Ellingsen C, Galappathi K, Rofstad EK. </w:t>
      </w:r>
      <w:r w:rsidRPr="00A73396">
        <w:rPr>
          <w:rFonts w:ascii="Times New Roman" w:hAnsi="Times New Roman" w:cs="Times New Roman"/>
          <w:noProof/>
          <w:szCs w:val="24"/>
        </w:rPr>
        <w:t xml:space="preserve">DW-MRI in assessment of the hypoxic fraction, interstitial fluid pressure, and metastatic propensity of melanoma xenografts. </w:t>
      </w:r>
      <w:r w:rsidRPr="00A73396">
        <w:rPr>
          <w:rFonts w:ascii="Times New Roman" w:hAnsi="Times New Roman" w:cs="Times New Roman"/>
          <w:i/>
          <w:iCs/>
          <w:noProof/>
          <w:szCs w:val="24"/>
        </w:rPr>
        <w:t>BMC Cancer</w:t>
      </w:r>
      <w:r w:rsidRPr="00A73396">
        <w:rPr>
          <w:rFonts w:ascii="Times New Roman" w:hAnsi="Times New Roman" w:cs="Times New Roman"/>
          <w:noProof/>
          <w:szCs w:val="24"/>
        </w:rPr>
        <w:t>. 2014;14(1):92. doi:10.1186/1471-2407-14-92</w:t>
      </w:r>
    </w:p>
    <w:p w14:paraId="12A9E694"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11. </w:t>
      </w:r>
      <w:r w:rsidRPr="00A73396">
        <w:rPr>
          <w:rFonts w:ascii="Times New Roman" w:hAnsi="Times New Roman" w:cs="Times New Roman"/>
          <w:noProof/>
          <w:szCs w:val="24"/>
        </w:rPr>
        <w:tab/>
        <w:t xml:space="preserve">Dominietto M, Rudin M. Could magnetic resonance provide in vivo histology? </w:t>
      </w:r>
      <w:r w:rsidRPr="00A73396">
        <w:rPr>
          <w:rFonts w:ascii="Times New Roman" w:hAnsi="Times New Roman" w:cs="Times New Roman"/>
          <w:i/>
          <w:iCs/>
          <w:noProof/>
          <w:szCs w:val="24"/>
        </w:rPr>
        <w:t>Front Genet</w:t>
      </w:r>
      <w:r w:rsidRPr="00A73396">
        <w:rPr>
          <w:rFonts w:ascii="Times New Roman" w:hAnsi="Times New Roman" w:cs="Times New Roman"/>
          <w:noProof/>
          <w:szCs w:val="24"/>
        </w:rPr>
        <w:t>. 2013;4(JAN):1-15. doi:10.3389/fgene.2013.00298</w:t>
      </w:r>
    </w:p>
    <w:p w14:paraId="1AFF7949"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12. </w:t>
      </w:r>
      <w:r w:rsidRPr="00A73396">
        <w:rPr>
          <w:rFonts w:ascii="Times New Roman" w:hAnsi="Times New Roman" w:cs="Times New Roman"/>
          <w:noProof/>
          <w:szCs w:val="24"/>
        </w:rPr>
        <w:tab/>
        <w:t xml:space="preserve">Wegner CS, Gaustad J-V, Andersen LMK, Simonsen TG, Rofstad EK. Diffusion-weighted and dynamic contrast-enhanced MRI of pancreatic adenocarcinoma xenografts: associations with tumor differentiation and collagen content. </w:t>
      </w:r>
      <w:r w:rsidRPr="00A73396">
        <w:rPr>
          <w:rFonts w:ascii="Times New Roman" w:hAnsi="Times New Roman" w:cs="Times New Roman"/>
          <w:i/>
          <w:iCs/>
          <w:noProof/>
          <w:szCs w:val="24"/>
        </w:rPr>
        <w:t>J Transl Med</w:t>
      </w:r>
      <w:r w:rsidRPr="00A73396">
        <w:rPr>
          <w:rFonts w:ascii="Times New Roman" w:hAnsi="Times New Roman" w:cs="Times New Roman"/>
          <w:noProof/>
          <w:szCs w:val="24"/>
        </w:rPr>
        <w:t>. 2016;14(1):161. doi:10.1186/s12967-016-0920-y</w:t>
      </w:r>
    </w:p>
    <w:p w14:paraId="55DC9DDD"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13. </w:t>
      </w:r>
      <w:r w:rsidRPr="00A73396">
        <w:rPr>
          <w:rFonts w:ascii="Times New Roman" w:hAnsi="Times New Roman" w:cs="Times New Roman"/>
          <w:noProof/>
          <w:szCs w:val="24"/>
        </w:rPr>
        <w:tab/>
        <w:t xml:space="preserve">Borren A, Moman MR, Groenendaal G, Boeken Kruger AE, van Diest PJ, van der Groep P, van der Heide U a, van Vulpen M, Philippens MEP. Why prostate tumour delineation based on apparent diffusion coefficient is challenging: an exploration of the tissue microanatomy. </w:t>
      </w:r>
      <w:r w:rsidRPr="00A73396">
        <w:rPr>
          <w:rFonts w:ascii="Times New Roman" w:hAnsi="Times New Roman" w:cs="Times New Roman"/>
          <w:i/>
          <w:iCs/>
          <w:noProof/>
          <w:szCs w:val="24"/>
        </w:rPr>
        <w:t xml:space="preserve">Acta </w:t>
      </w:r>
      <w:r w:rsidRPr="00A73396">
        <w:rPr>
          <w:rFonts w:ascii="Times New Roman" w:hAnsi="Times New Roman" w:cs="Times New Roman"/>
          <w:i/>
          <w:iCs/>
          <w:noProof/>
          <w:szCs w:val="24"/>
        </w:rPr>
        <w:lastRenderedPageBreak/>
        <w:t>Oncol</w:t>
      </w:r>
      <w:r w:rsidRPr="00A73396">
        <w:rPr>
          <w:rFonts w:ascii="Times New Roman" w:hAnsi="Times New Roman" w:cs="Times New Roman"/>
          <w:noProof/>
          <w:szCs w:val="24"/>
        </w:rPr>
        <w:t>. 2013;52(8):1629-1636. doi:10.3109/0284186X.2013.787164</w:t>
      </w:r>
    </w:p>
    <w:p w14:paraId="0BA117E8"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14. </w:t>
      </w:r>
      <w:r w:rsidRPr="00A73396">
        <w:rPr>
          <w:rFonts w:ascii="Times New Roman" w:hAnsi="Times New Roman" w:cs="Times New Roman"/>
          <w:noProof/>
          <w:szCs w:val="24"/>
        </w:rPr>
        <w:tab/>
        <w:t xml:space="preserve">Hillengass J, Bäuerle T, Bartl R, Andrulis M, Mcclanahan F, Laun FB, Zechmann CM, Shah R, Wagner-Gund B, Simon D, Heiss C, Neben K, Ho AD, Schlemmer HP, Goldschmidt H, Delorme S, Stieltjes B. Diffusion-weighted imaging for non-invasive and quantitative monitoring of bone marrow infiltration in patients with monoclonal plasma cell disease: A comparative study with histology. </w:t>
      </w:r>
      <w:r w:rsidRPr="00A73396">
        <w:rPr>
          <w:rFonts w:ascii="Times New Roman" w:hAnsi="Times New Roman" w:cs="Times New Roman"/>
          <w:i/>
          <w:iCs/>
          <w:noProof/>
          <w:szCs w:val="24"/>
        </w:rPr>
        <w:t>Br J Haematol</w:t>
      </w:r>
      <w:r w:rsidRPr="00A73396">
        <w:rPr>
          <w:rFonts w:ascii="Times New Roman" w:hAnsi="Times New Roman" w:cs="Times New Roman"/>
          <w:noProof/>
          <w:szCs w:val="24"/>
        </w:rPr>
        <w:t>. 2011;153(6):721-728. doi:10.1111/j.1365-2141.2011.08658.x</w:t>
      </w:r>
    </w:p>
    <w:p w14:paraId="3E1ED2FB"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15. </w:t>
      </w:r>
      <w:r w:rsidRPr="00A73396">
        <w:rPr>
          <w:rFonts w:ascii="Times New Roman" w:hAnsi="Times New Roman" w:cs="Times New Roman"/>
          <w:noProof/>
          <w:szCs w:val="24"/>
        </w:rPr>
        <w:tab/>
        <w:t xml:space="preserve">Kölby L, Bernhardt P, Ahlman H, Wängberg B, Johanson V, Wigander A, Forssell-Aronsson E, Karlsson S, Ahrén B, Stenman G, Nilsson O. A Transplantable Human Carcinoid as Model for Somatostatin Receptor-Mediated and Amine Transporter-Mediated Radionuclide Uptake. </w:t>
      </w:r>
      <w:r w:rsidRPr="00A73396">
        <w:rPr>
          <w:rFonts w:ascii="Times New Roman" w:hAnsi="Times New Roman" w:cs="Times New Roman"/>
          <w:i/>
          <w:iCs/>
          <w:noProof/>
          <w:szCs w:val="24"/>
        </w:rPr>
        <w:t>Am J Pathol</w:t>
      </w:r>
      <w:r w:rsidRPr="00A73396">
        <w:rPr>
          <w:rFonts w:ascii="Times New Roman" w:hAnsi="Times New Roman" w:cs="Times New Roman"/>
          <w:noProof/>
          <w:szCs w:val="24"/>
        </w:rPr>
        <w:t>. 2001;158(2):745-755. doi:10.1016/S0002-9440(10)64017-5</w:t>
      </w:r>
    </w:p>
    <w:p w14:paraId="3F90CDC3"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16. </w:t>
      </w:r>
      <w:r w:rsidRPr="00A73396">
        <w:rPr>
          <w:rFonts w:ascii="Times New Roman" w:hAnsi="Times New Roman" w:cs="Times New Roman"/>
          <w:noProof/>
          <w:szCs w:val="24"/>
        </w:rPr>
        <w:tab/>
        <w:t xml:space="preserve">Dalmo J, Spetz J, Montelius M, Langen B, Arvidsson Y, Johansson H, Parris TZ, Helou K, Wängberg B, Nilsson O, Ljungberg M, Forssell-Aronsson E. Priming increases the anti-tumor effect and therapeutic window of </w:t>
      </w:r>
      <w:r w:rsidRPr="00A73396">
        <w:rPr>
          <w:rFonts w:ascii="Times New Roman" w:hAnsi="Times New Roman" w:cs="Times New Roman"/>
          <w:noProof/>
          <w:szCs w:val="24"/>
          <w:vertAlign w:val="superscript"/>
        </w:rPr>
        <w:t>177</w:t>
      </w:r>
      <w:r w:rsidRPr="00A73396">
        <w:rPr>
          <w:rFonts w:ascii="Times New Roman" w:hAnsi="Times New Roman" w:cs="Times New Roman"/>
          <w:noProof/>
          <w:szCs w:val="24"/>
        </w:rPr>
        <w:t xml:space="preserve">Lu-octreotate in nude mice bearing human small intestine neuroendocrine tumor GOT1. </w:t>
      </w:r>
      <w:r w:rsidRPr="00A73396">
        <w:rPr>
          <w:rFonts w:ascii="Times New Roman" w:hAnsi="Times New Roman" w:cs="Times New Roman"/>
          <w:i/>
          <w:iCs/>
          <w:noProof/>
          <w:szCs w:val="24"/>
        </w:rPr>
        <w:t>EJNMMI Res</w:t>
      </w:r>
      <w:r w:rsidRPr="00A73396">
        <w:rPr>
          <w:rFonts w:ascii="Times New Roman" w:hAnsi="Times New Roman" w:cs="Times New Roman"/>
          <w:noProof/>
          <w:szCs w:val="24"/>
        </w:rPr>
        <w:t>. 2017;7(1). doi:10.1186/s13550-016-0247-y</w:t>
      </w:r>
    </w:p>
    <w:p w14:paraId="31327EDE"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17. </w:t>
      </w:r>
      <w:r w:rsidRPr="00A73396">
        <w:rPr>
          <w:rFonts w:ascii="Times New Roman" w:hAnsi="Times New Roman" w:cs="Times New Roman"/>
          <w:noProof/>
          <w:szCs w:val="24"/>
        </w:rPr>
        <w:tab/>
        <w:t xml:space="preserve">Gustafsson O, Montelius M, Starck G, Ljungberg M. Impact of prior distributions and central tendency measures on Bayesian intravoxel incoherent motion model fitting. </w:t>
      </w:r>
      <w:r w:rsidRPr="00A73396">
        <w:rPr>
          <w:rFonts w:ascii="Times New Roman" w:hAnsi="Times New Roman" w:cs="Times New Roman"/>
          <w:i/>
          <w:iCs/>
          <w:noProof/>
          <w:szCs w:val="24"/>
        </w:rPr>
        <w:t>Magn Reson Med</w:t>
      </w:r>
      <w:r w:rsidRPr="00A73396">
        <w:rPr>
          <w:rFonts w:ascii="Times New Roman" w:hAnsi="Times New Roman" w:cs="Times New Roman"/>
          <w:noProof/>
          <w:szCs w:val="24"/>
        </w:rPr>
        <w:t>. 2017. doi:10.1002/mrm.26783</w:t>
      </w:r>
    </w:p>
    <w:p w14:paraId="7939D9FF"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18. </w:t>
      </w:r>
      <w:r w:rsidRPr="00A73396">
        <w:rPr>
          <w:rFonts w:ascii="Times New Roman" w:hAnsi="Times New Roman" w:cs="Times New Roman"/>
          <w:noProof/>
          <w:szCs w:val="24"/>
        </w:rPr>
        <w:tab/>
        <w:t xml:space="preserve">Montelius M, Ljungberg M, Horn M, Forssell-Aronsson E. Tumour size measurement in a mouse model using high resolution MRI. </w:t>
      </w:r>
      <w:r w:rsidRPr="00A73396">
        <w:rPr>
          <w:rFonts w:ascii="Times New Roman" w:hAnsi="Times New Roman" w:cs="Times New Roman"/>
          <w:i/>
          <w:iCs/>
          <w:noProof/>
          <w:szCs w:val="24"/>
        </w:rPr>
        <w:t>BMC Med Imaging</w:t>
      </w:r>
      <w:r w:rsidRPr="00A73396">
        <w:rPr>
          <w:rFonts w:ascii="Times New Roman" w:hAnsi="Times New Roman" w:cs="Times New Roman"/>
          <w:noProof/>
          <w:szCs w:val="24"/>
        </w:rPr>
        <w:t>. 2012;12. doi:10.1186/1471-2342-12-12</w:t>
      </w:r>
    </w:p>
    <w:p w14:paraId="3B6CF330"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19. </w:t>
      </w:r>
      <w:r w:rsidRPr="00A73396">
        <w:rPr>
          <w:rFonts w:ascii="Times New Roman" w:hAnsi="Times New Roman" w:cs="Times New Roman"/>
          <w:noProof/>
          <w:szCs w:val="24"/>
        </w:rPr>
        <w:tab/>
        <w:t xml:space="preserve">Veta M, van Diest PJ, Kornegoor R, Huisman A, Viergever MA, Pluim JPW. Automatic Nuclei Segmentation in H&amp;E Stained Breast Cancer Histopathology Images. </w:t>
      </w:r>
      <w:r w:rsidRPr="00A73396">
        <w:rPr>
          <w:rFonts w:ascii="Times New Roman" w:hAnsi="Times New Roman" w:cs="Times New Roman"/>
          <w:i/>
          <w:iCs/>
          <w:noProof/>
          <w:szCs w:val="24"/>
        </w:rPr>
        <w:t>PLoS One</w:t>
      </w:r>
      <w:r w:rsidRPr="00A73396">
        <w:rPr>
          <w:rFonts w:ascii="Times New Roman" w:hAnsi="Times New Roman" w:cs="Times New Roman"/>
          <w:noProof/>
          <w:szCs w:val="24"/>
        </w:rPr>
        <w:t>. 2013;8(7). doi:10.1371/journal.pone.0070221</w:t>
      </w:r>
    </w:p>
    <w:p w14:paraId="5DBA5379"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20. </w:t>
      </w:r>
      <w:r w:rsidRPr="00A73396">
        <w:rPr>
          <w:rFonts w:ascii="Times New Roman" w:hAnsi="Times New Roman" w:cs="Times New Roman"/>
          <w:noProof/>
          <w:szCs w:val="24"/>
        </w:rPr>
        <w:tab/>
        <w:t xml:space="preserve">Kroemer G, El-Deiry WS, Golstein P, Peter ME, Vaux D, Vandenabeele P, Zhivotovsky B, Blagosklonny M V, Malorni W, Knight RA, Piacentini M, Nagata S, Melino G. Classification of cell death: recommendations of the Nomenclature Committee on Cell Death. </w:t>
      </w:r>
      <w:r w:rsidRPr="00A73396">
        <w:rPr>
          <w:rFonts w:ascii="Times New Roman" w:hAnsi="Times New Roman" w:cs="Times New Roman"/>
          <w:i/>
          <w:iCs/>
          <w:noProof/>
          <w:szCs w:val="24"/>
        </w:rPr>
        <w:t>Cell Death Differ</w:t>
      </w:r>
      <w:r w:rsidRPr="00A73396">
        <w:rPr>
          <w:rFonts w:ascii="Times New Roman" w:hAnsi="Times New Roman" w:cs="Times New Roman"/>
          <w:noProof/>
          <w:szCs w:val="24"/>
        </w:rPr>
        <w:t>. 2005;12:1463-1467. doi:10.1038/sj.cdd.4401724</w:t>
      </w:r>
    </w:p>
    <w:p w14:paraId="50213D65"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21. </w:t>
      </w:r>
      <w:r w:rsidRPr="00A73396">
        <w:rPr>
          <w:rFonts w:ascii="Times New Roman" w:hAnsi="Times New Roman" w:cs="Times New Roman"/>
          <w:noProof/>
          <w:szCs w:val="24"/>
        </w:rPr>
        <w:tab/>
        <w:t xml:space="preserve">Hastie T, Tibshirani R, Friedman J. The Elements of Statistical Learning. </w:t>
      </w:r>
      <w:r w:rsidRPr="00A73396">
        <w:rPr>
          <w:rFonts w:ascii="Times New Roman" w:hAnsi="Times New Roman" w:cs="Times New Roman"/>
          <w:i/>
          <w:iCs/>
          <w:noProof/>
          <w:szCs w:val="24"/>
        </w:rPr>
        <w:t>Bayesian Forecast Dyn Model</w:t>
      </w:r>
      <w:r w:rsidRPr="00A73396">
        <w:rPr>
          <w:rFonts w:ascii="Times New Roman" w:hAnsi="Times New Roman" w:cs="Times New Roman"/>
          <w:noProof/>
          <w:szCs w:val="24"/>
        </w:rPr>
        <w:t>. 2009;1:1-694. doi:10.1007/b94608</w:t>
      </w:r>
    </w:p>
    <w:p w14:paraId="263D2FDF"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22. </w:t>
      </w:r>
      <w:r w:rsidRPr="00A73396">
        <w:rPr>
          <w:rFonts w:ascii="Times New Roman" w:hAnsi="Times New Roman" w:cs="Times New Roman"/>
          <w:noProof/>
          <w:szCs w:val="24"/>
        </w:rPr>
        <w:tab/>
        <w:t xml:space="preserve">Alic L, Haeck JC, Bol K, Klein S, van Tiel ST, Wielepolski PA, de Jong M, Niessen WJ, Bernsen M, Veenland JF. Facilitating tumor functional assessment by spatially relating 3D tumor histology and In Vivo MRI: Image registration approach. </w:t>
      </w:r>
      <w:r w:rsidRPr="00A73396">
        <w:rPr>
          <w:rFonts w:ascii="Times New Roman" w:hAnsi="Times New Roman" w:cs="Times New Roman"/>
          <w:i/>
          <w:iCs/>
          <w:noProof/>
          <w:szCs w:val="24"/>
        </w:rPr>
        <w:t>PLoS One</w:t>
      </w:r>
      <w:r w:rsidRPr="00A73396">
        <w:rPr>
          <w:rFonts w:ascii="Times New Roman" w:hAnsi="Times New Roman" w:cs="Times New Roman"/>
          <w:noProof/>
          <w:szCs w:val="24"/>
        </w:rPr>
        <w:t>. 2011;6(8):1-10. doi:10.1371/journal.pone.0022835</w:t>
      </w:r>
    </w:p>
    <w:p w14:paraId="1462523C"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23. </w:t>
      </w:r>
      <w:r w:rsidRPr="00A73396">
        <w:rPr>
          <w:rFonts w:ascii="Times New Roman" w:hAnsi="Times New Roman" w:cs="Times New Roman"/>
          <w:noProof/>
          <w:szCs w:val="24"/>
        </w:rPr>
        <w:tab/>
        <w:t xml:space="preserve">Seise M, Alhonnoro T, Kolesnik M. Interactive registration of 2D histology and 3D CT data for assessment of radiofrequency ablation treatment. </w:t>
      </w:r>
      <w:r w:rsidRPr="00A73396">
        <w:rPr>
          <w:rFonts w:ascii="Times New Roman" w:hAnsi="Times New Roman" w:cs="Times New Roman"/>
          <w:i/>
          <w:iCs/>
          <w:noProof/>
          <w:szCs w:val="24"/>
        </w:rPr>
        <w:t>J Pathol Inform</w:t>
      </w:r>
      <w:r w:rsidRPr="00A73396">
        <w:rPr>
          <w:rFonts w:ascii="Times New Roman" w:hAnsi="Times New Roman" w:cs="Times New Roman"/>
          <w:noProof/>
          <w:szCs w:val="24"/>
        </w:rPr>
        <w:t>. 2011;2:S9. doi:10.4103/2153-3539.92036</w:t>
      </w:r>
    </w:p>
    <w:p w14:paraId="1AF98192"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24. </w:t>
      </w:r>
      <w:r w:rsidRPr="00A73396">
        <w:rPr>
          <w:rFonts w:ascii="Times New Roman" w:hAnsi="Times New Roman" w:cs="Times New Roman"/>
          <w:noProof/>
          <w:szCs w:val="24"/>
        </w:rPr>
        <w:tab/>
        <w:t xml:space="preserve">Klein S, Staring M, Pluim JPW. Evaluation of optimization methods for nonrigid medical image registration using mutual information and B-splines. </w:t>
      </w:r>
      <w:r w:rsidRPr="00A73396">
        <w:rPr>
          <w:rFonts w:ascii="Times New Roman" w:hAnsi="Times New Roman" w:cs="Times New Roman"/>
          <w:i/>
          <w:iCs/>
          <w:noProof/>
          <w:szCs w:val="24"/>
        </w:rPr>
        <w:t>IEEE Trans Image Process</w:t>
      </w:r>
      <w:r w:rsidRPr="00A73396">
        <w:rPr>
          <w:rFonts w:ascii="Times New Roman" w:hAnsi="Times New Roman" w:cs="Times New Roman"/>
          <w:noProof/>
          <w:szCs w:val="24"/>
        </w:rPr>
        <w:t>. 2007;16(12):2879-2890. doi:10.1109/TIP.2007.909412</w:t>
      </w:r>
    </w:p>
    <w:p w14:paraId="70EC733C"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25. </w:t>
      </w:r>
      <w:r w:rsidRPr="00A73396">
        <w:rPr>
          <w:rFonts w:ascii="Times New Roman" w:hAnsi="Times New Roman" w:cs="Times New Roman"/>
          <w:noProof/>
          <w:szCs w:val="24"/>
        </w:rPr>
        <w:tab/>
        <w:t xml:space="preserve">Bol K, Haeck JC, Groen HC, Niessen WJ, Bernsen MR, de Jong M, Veenland JF. Can DCE-MRI Explain the Heterogeneity in Radiopeptide Uptake Imaged by SPECT in a Pancreatic Neuroendocrine Tumor Model? </w:t>
      </w:r>
      <w:r w:rsidRPr="00A73396">
        <w:rPr>
          <w:rFonts w:ascii="Times New Roman" w:hAnsi="Times New Roman" w:cs="Times New Roman"/>
          <w:i/>
          <w:iCs/>
          <w:noProof/>
          <w:szCs w:val="24"/>
        </w:rPr>
        <w:t>PLoS One</w:t>
      </w:r>
      <w:r w:rsidRPr="00A73396">
        <w:rPr>
          <w:rFonts w:ascii="Times New Roman" w:hAnsi="Times New Roman" w:cs="Times New Roman"/>
          <w:noProof/>
          <w:szCs w:val="24"/>
        </w:rPr>
        <w:t>. 2013;8(10):1-11. doi:10.1371/journal.pone.0077076</w:t>
      </w:r>
    </w:p>
    <w:p w14:paraId="3A0DC3A7"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26. </w:t>
      </w:r>
      <w:r w:rsidRPr="00A73396">
        <w:rPr>
          <w:rFonts w:ascii="Times New Roman" w:hAnsi="Times New Roman" w:cs="Times New Roman"/>
          <w:noProof/>
          <w:szCs w:val="24"/>
        </w:rPr>
        <w:tab/>
        <w:t xml:space="preserve">Haeck JC, Bol K, de Ridder CMA, Brunel L, Fehrentz JA, Martinez J, van Weerden WM, Bernsen MR, de Jong M, Veenland JF. Imaging heterogeneity of peptide delivery and binding in solid tumors using SPECT imaging and MRI. </w:t>
      </w:r>
      <w:r w:rsidRPr="00A73396">
        <w:rPr>
          <w:rFonts w:ascii="Times New Roman" w:hAnsi="Times New Roman" w:cs="Times New Roman"/>
          <w:i/>
          <w:iCs/>
          <w:noProof/>
          <w:szCs w:val="24"/>
        </w:rPr>
        <w:t>EJNMMI Res</w:t>
      </w:r>
      <w:r w:rsidRPr="00A73396">
        <w:rPr>
          <w:rFonts w:ascii="Times New Roman" w:hAnsi="Times New Roman" w:cs="Times New Roman"/>
          <w:noProof/>
          <w:szCs w:val="24"/>
        </w:rPr>
        <w:t xml:space="preserve">. 2016;6(1):3. </w:t>
      </w:r>
      <w:r w:rsidRPr="00A73396">
        <w:rPr>
          <w:rFonts w:ascii="Times New Roman" w:hAnsi="Times New Roman" w:cs="Times New Roman"/>
          <w:noProof/>
          <w:szCs w:val="24"/>
        </w:rPr>
        <w:lastRenderedPageBreak/>
        <w:t>doi:10.1186/s13550-016-0160-4</w:t>
      </w:r>
    </w:p>
    <w:p w14:paraId="3D17A513"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27. </w:t>
      </w:r>
      <w:r w:rsidRPr="00A73396">
        <w:rPr>
          <w:rFonts w:ascii="Times New Roman" w:hAnsi="Times New Roman" w:cs="Times New Roman"/>
          <w:noProof/>
          <w:szCs w:val="24"/>
        </w:rPr>
        <w:tab/>
        <w:t xml:space="preserve">Hoffmann U, Brix G, Knopp M V., Hess T, Lorenz WJ. Pharmacokinetic Mapping of the Breast: A New Method for Dynamic MR Mammography. </w:t>
      </w:r>
      <w:r w:rsidRPr="00A73396">
        <w:rPr>
          <w:rFonts w:ascii="Times New Roman" w:hAnsi="Times New Roman" w:cs="Times New Roman"/>
          <w:i/>
          <w:iCs/>
          <w:noProof/>
          <w:szCs w:val="24"/>
        </w:rPr>
        <w:t>Magn Reson Med</w:t>
      </w:r>
      <w:r w:rsidRPr="00A73396">
        <w:rPr>
          <w:rFonts w:ascii="Times New Roman" w:hAnsi="Times New Roman" w:cs="Times New Roman"/>
          <w:noProof/>
          <w:szCs w:val="24"/>
        </w:rPr>
        <w:t>. 1995;33(4):506-514. doi:10.1002/mrm.1910330408</w:t>
      </w:r>
    </w:p>
    <w:p w14:paraId="4F24A7B6"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28. </w:t>
      </w:r>
      <w:r w:rsidRPr="00A73396">
        <w:rPr>
          <w:rFonts w:ascii="Times New Roman" w:hAnsi="Times New Roman" w:cs="Times New Roman"/>
          <w:noProof/>
          <w:szCs w:val="24"/>
        </w:rPr>
        <w:tab/>
        <w:t xml:space="preserve">Rudin M. Imaging readouts as biomarkers or surrogate parameters for the assessment of therapeutic interventions. </w:t>
      </w:r>
      <w:r w:rsidRPr="00A73396">
        <w:rPr>
          <w:rFonts w:ascii="Times New Roman" w:hAnsi="Times New Roman" w:cs="Times New Roman"/>
          <w:i/>
          <w:iCs/>
          <w:noProof/>
          <w:szCs w:val="24"/>
        </w:rPr>
        <w:t>Eur Radiol</w:t>
      </w:r>
      <w:r w:rsidRPr="00A73396">
        <w:rPr>
          <w:rFonts w:ascii="Times New Roman" w:hAnsi="Times New Roman" w:cs="Times New Roman"/>
          <w:noProof/>
          <w:szCs w:val="24"/>
        </w:rPr>
        <w:t>. 2007;17(10):2441-2447. doi:10.1007/s00330-007-0619-9</w:t>
      </w:r>
    </w:p>
    <w:p w14:paraId="4C42DAD7"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29. </w:t>
      </w:r>
      <w:r w:rsidRPr="00A73396">
        <w:rPr>
          <w:rFonts w:ascii="Times New Roman" w:hAnsi="Times New Roman" w:cs="Times New Roman"/>
          <w:noProof/>
          <w:szCs w:val="24"/>
        </w:rPr>
        <w:tab/>
        <w:t xml:space="preserve">Li LZ, Zhou R, Xu HN, Moon L, Zhong T, Kim EJ, Qiao H, Reddy R, Leeper D, Chance B, Glickson JD. Quantitative magnetic resonance and optical imaging biomarkers of melanoma metastatic potential. </w:t>
      </w:r>
      <w:r w:rsidRPr="00A73396">
        <w:rPr>
          <w:rFonts w:ascii="Times New Roman" w:hAnsi="Times New Roman" w:cs="Times New Roman"/>
          <w:i/>
          <w:iCs/>
          <w:noProof/>
          <w:szCs w:val="24"/>
        </w:rPr>
        <w:t>Proc Natl Acad Sci U S A</w:t>
      </w:r>
      <w:r w:rsidRPr="00A73396">
        <w:rPr>
          <w:rFonts w:ascii="Times New Roman" w:hAnsi="Times New Roman" w:cs="Times New Roman"/>
          <w:noProof/>
          <w:szCs w:val="24"/>
        </w:rPr>
        <w:t>. 2009;106(16):6608-6613. doi:10.1073/pnas.0901807106</w:t>
      </w:r>
    </w:p>
    <w:p w14:paraId="3BD24F42"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30. </w:t>
      </w:r>
      <w:r w:rsidRPr="00A73396">
        <w:rPr>
          <w:rFonts w:ascii="Times New Roman" w:hAnsi="Times New Roman" w:cs="Times New Roman"/>
          <w:noProof/>
          <w:szCs w:val="24"/>
        </w:rPr>
        <w:tab/>
        <w:t xml:space="preserve">Cho H, Ackerstaff E, Carlin S, Lupu ME, Wang Y, Rizwan A, O’Donoghue J, Ling CC, Humm JL, Zanzonico PB, Koutcher JA. Noninvasive multimodality imaging of the tumor microenvironment: registered dynamic magnetic resonance imaging and positron emission tomography studies of a preclinical tumor model of tumor hypoxia. </w:t>
      </w:r>
      <w:r w:rsidRPr="00A73396">
        <w:rPr>
          <w:rFonts w:ascii="Times New Roman" w:hAnsi="Times New Roman" w:cs="Times New Roman"/>
          <w:i/>
          <w:iCs/>
          <w:noProof/>
          <w:szCs w:val="24"/>
        </w:rPr>
        <w:t>Neoplasia</w:t>
      </w:r>
      <w:r w:rsidRPr="00A73396">
        <w:rPr>
          <w:rFonts w:ascii="Times New Roman" w:hAnsi="Times New Roman" w:cs="Times New Roman"/>
          <w:noProof/>
          <w:szCs w:val="24"/>
        </w:rPr>
        <w:t>. 2009;11(3):247-59, 2p following 259. doi:10.1593/neo.81360</w:t>
      </w:r>
    </w:p>
    <w:p w14:paraId="0E377910"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31. </w:t>
      </w:r>
      <w:r w:rsidRPr="00A73396">
        <w:rPr>
          <w:rFonts w:ascii="Times New Roman" w:hAnsi="Times New Roman" w:cs="Times New Roman"/>
          <w:noProof/>
          <w:szCs w:val="24"/>
        </w:rPr>
        <w:tab/>
        <w:t xml:space="preserve">Jain RK. Normalizing tumor microenvironment to treat cancer: Bench to bedside to biomarkers. </w:t>
      </w:r>
      <w:r w:rsidRPr="00A73396">
        <w:rPr>
          <w:rFonts w:ascii="Times New Roman" w:hAnsi="Times New Roman" w:cs="Times New Roman"/>
          <w:i/>
          <w:iCs/>
          <w:noProof/>
          <w:szCs w:val="24"/>
        </w:rPr>
        <w:t>J Clin Oncol</w:t>
      </w:r>
      <w:r w:rsidRPr="00A73396">
        <w:rPr>
          <w:rFonts w:ascii="Times New Roman" w:hAnsi="Times New Roman" w:cs="Times New Roman"/>
          <w:noProof/>
          <w:szCs w:val="24"/>
        </w:rPr>
        <w:t>. 2013;31(17):2205-2218. doi:10.1200/JCO.2012.46.3653</w:t>
      </w:r>
    </w:p>
    <w:p w14:paraId="012C0560"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32. </w:t>
      </w:r>
      <w:r w:rsidRPr="00A73396">
        <w:rPr>
          <w:rFonts w:ascii="Times New Roman" w:hAnsi="Times New Roman" w:cs="Times New Roman"/>
          <w:noProof/>
          <w:szCs w:val="24"/>
        </w:rPr>
        <w:tab/>
        <w:t xml:space="preserve">Knopp M V., Weiss E, Sinn HP, Mattern J, Junkermann H, Radeleff J, Magener A, Brix G, Delorme S, Zuna I, Van Kaick G. Pathophysiologic basis of contrast enhancement in breast tumors. </w:t>
      </w:r>
      <w:r w:rsidRPr="00A73396">
        <w:rPr>
          <w:rFonts w:ascii="Times New Roman" w:hAnsi="Times New Roman" w:cs="Times New Roman"/>
          <w:i/>
          <w:iCs/>
          <w:noProof/>
          <w:szCs w:val="24"/>
        </w:rPr>
        <w:t>J Magn Reson Imaging</w:t>
      </w:r>
      <w:r w:rsidRPr="00A73396">
        <w:rPr>
          <w:rFonts w:ascii="Times New Roman" w:hAnsi="Times New Roman" w:cs="Times New Roman"/>
          <w:noProof/>
          <w:szCs w:val="24"/>
        </w:rPr>
        <w:t>. 1999;10(3):260-266. doi:10.1002/(SICI)1522-2586(199909)10:3&lt;260::AID-JMRI6&gt;3.0.CO;2-7</w:t>
      </w:r>
    </w:p>
    <w:p w14:paraId="10D6EDF3"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33. </w:t>
      </w:r>
      <w:r w:rsidRPr="00A73396">
        <w:rPr>
          <w:rFonts w:ascii="Times New Roman" w:hAnsi="Times New Roman" w:cs="Times New Roman"/>
          <w:noProof/>
          <w:szCs w:val="24"/>
        </w:rPr>
        <w:tab/>
        <w:t xml:space="preserve">Sorace AG, Quarles CC, Whisenant JG, Hanker AB, McIntyre JO, Sanchez VM, Yankeelov TE. Trastuzumab improves tumor perfusion and vascular delivery of cytotoxic therapy in a murine model of HER2+ breast cancer: preliminary results. </w:t>
      </w:r>
      <w:r w:rsidRPr="00A73396">
        <w:rPr>
          <w:rFonts w:ascii="Times New Roman" w:hAnsi="Times New Roman" w:cs="Times New Roman"/>
          <w:i/>
          <w:iCs/>
          <w:noProof/>
          <w:szCs w:val="24"/>
        </w:rPr>
        <w:t>Breast Cancer Res Treat</w:t>
      </w:r>
      <w:r w:rsidRPr="00A73396">
        <w:rPr>
          <w:rFonts w:ascii="Times New Roman" w:hAnsi="Times New Roman" w:cs="Times New Roman"/>
          <w:noProof/>
          <w:szCs w:val="24"/>
        </w:rPr>
        <w:t>. 2016;155(2):273-284. doi:10.1007/s10549-016-3680-8</w:t>
      </w:r>
    </w:p>
    <w:p w14:paraId="20732DFD"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34. </w:t>
      </w:r>
      <w:r w:rsidRPr="00A73396">
        <w:rPr>
          <w:rFonts w:ascii="Times New Roman" w:hAnsi="Times New Roman" w:cs="Times New Roman"/>
          <w:noProof/>
          <w:szCs w:val="24"/>
        </w:rPr>
        <w:tab/>
        <w:t xml:space="preserve">Bali MA, Metens T, Denolin V, Delhaye M, Demetter P, Closset J, Matos C. Tumoral and nontumoral pancreas: correlation between quantitative dynamic contrast-enhanced MR imaging and histopathologic parameters. </w:t>
      </w:r>
      <w:r w:rsidRPr="00A73396">
        <w:rPr>
          <w:rFonts w:ascii="Times New Roman" w:hAnsi="Times New Roman" w:cs="Times New Roman"/>
          <w:i/>
          <w:iCs/>
          <w:noProof/>
          <w:szCs w:val="24"/>
        </w:rPr>
        <w:t>Radiology</w:t>
      </w:r>
      <w:r w:rsidRPr="00A73396">
        <w:rPr>
          <w:rFonts w:ascii="Times New Roman" w:hAnsi="Times New Roman" w:cs="Times New Roman"/>
          <w:noProof/>
          <w:szCs w:val="24"/>
        </w:rPr>
        <w:t>. 2011;261(2):456-466. doi:10.1148/radiol.11103515</w:t>
      </w:r>
    </w:p>
    <w:p w14:paraId="7DB8166A"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35. </w:t>
      </w:r>
      <w:r w:rsidRPr="00A73396">
        <w:rPr>
          <w:rFonts w:ascii="Times New Roman" w:hAnsi="Times New Roman" w:cs="Times New Roman"/>
          <w:noProof/>
          <w:szCs w:val="24"/>
        </w:rPr>
        <w:tab/>
        <w:t xml:space="preserve">Lescher S, Jurcoane A, Veit A, Bähr O, Deichmann R, Hattingen E. Quantitative T1 and T2 mapping in recurrent glioblastomas under bevacizumab: earlier detection of tumor progression compared to conventional MRI. </w:t>
      </w:r>
      <w:r w:rsidRPr="00A73396">
        <w:rPr>
          <w:rFonts w:ascii="Times New Roman" w:hAnsi="Times New Roman" w:cs="Times New Roman"/>
          <w:i/>
          <w:iCs/>
          <w:noProof/>
          <w:szCs w:val="24"/>
        </w:rPr>
        <w:t>Neuroradiology</w:t>
      </w:r>
      <w:r w:rsidRPr="00A73396">
        <w:rPr>
          <w:rFonts w:ascii="Times New Roman" w:hAnsi="Times New Roman" w:cs="Times New Roman"/>
          <w:noProof/>
          <w:szCs w:val="24"/>
        </w:rPr>
        <w:t>. 2014;57(1):11-20. doi:10.1007/s00234-014-1445-9</w:t>
      </w:r>
    </w:p>
    <w:p w14:paraId="1A40DE5A"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36. </w:t>
      </w:r>
      <w:r w:rsidRPr="00A73396">
        <w:rPr>
          <w:rFonts w:ascii="Times New Roman" w:hAnsi="Times New Roman" w:cs="Times New Roman"/>
          <w:noProof/>
          <w:szCs w:val="24"/>
        </w:rPr>
        <w:tab/>
        <w:t xml:space="preserve">Baudelet C, Cron GO, Ansiaux R, Crokart N, DeWever J, Feron O, Gallez B. The role of vessel maturation and vessel functionality in spontaneous fluctuations ofT2*-weighted GRE signal within tumors. </w:t>
      </w:r>
      <w:r w:rsidRPr="00A73396">
        <w:rPr>
          <w:rFonts w:ascii="Times New Roman" w:hAnsi="Times New Roman" w:cs="Times New Roman"/>
          <w:i/>
          <w:iCs/>
          <w:noProof/>
          <w:szCs w:val="24"/>
        </w:rPr>
        <w:t>NMR Biomed</w:t>
      </w:r>
      <w:r w:rsidRPr="00A73396">
        <w:rPr>
          <w:rFonts w:ascii="Times New Roman" w:hAnsi="Times New Roman" w:cs="Times New Roman"/>
          <w:noProof/>
          <w:szCs w:val="24"/>
        </w:rPr>
        <w:t>. 2006;19(1):69-76. doi:10.1002/nbm.1002</w:t>
      </w:r>
    </w:p>
    <w:p w14:paraId="459EEBE6"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37. </w:t>
      </w:r>
      <w:r w:rsidRPr="00A73396">
        <w:rPr>
          <w:rFonts w:ascii="Times New Roman" w:hAnsi="Times New Roman" w:cs="Times New Roman"/>
          <w:noProof/>
          <w:szCs w:val="24"/>
        </w:rPr>
        <w:tab/>
        <w:t xml:space="preserve">Kölby L, Bernhardt P, Johanson V, Schmitt A, Ahlman H, Forssell-Aronsson E, Mäcke H, Nilsson O. Successful receptor-mediated radiation therapy of xenografted human midgut carcinoid tumour. </w:t>
      </w:r>
      <w:r w:rsidRPr="00A73396">
        <w:rPr>
          <w:rFonts w:ascii="Times New Roman" w:hAnsi="Times New Roman" w:cs="Times New Roman"/>
          <w:i/>
          <w:iCs/>
          <w:noProof/>
          <w:szCs w:val="24"/>
        </w:rPr>
        <w:t>Br J Cancer</w:t>
      </w:r>
      <w:r w:rsidRPr="00A73396">
        <w:rPr>
          <w:rFonts w:ascii="Times New Roman" w:hAnsi="Times New Roman" w:cs="Times New Roman"/>
          <w:noProof/>
          <w:szCs w:val="24"/>
        </w:rPr>
        <w:t>. 2005;93(10):1144-1151. doi:10.1038/sj.bjc.6602845</w:t>
      </w:r>
    </w:p>
    <w:p w14:paraId="7CCCC226"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szCs w:val="24"/>
        </w:rPr>
      </w:pPr>
      <w:r w:rsidRPr="00A73396">
        <w:rPr>
          <w:rFonts w:ascii="Times New Roman" w:hAnsi="Times New Roman" w:cs="Times New Roman"/>
          <w:noProof/>
          <w:szCs w:val="24"/>
        </w:rPr>
        <w:t xml:space="preserve">38. </w:t>
      </w:r>
      <w:r w:rsidRPr="00A73396">
        <w:rPr>
          <w:rFonts w:ascii="Times New Roman" w:hAnsi="Times New Roman" w:cs="Times New Roman"/>
          <w:noProof/>
          <w:szCs w:val="24"/>
        </w:rPr>
        <w:tab/>
        <w:t xml:space="preserve">Lai V, Li X, Lee VHF, Lam KO, Chan Q, Khong PL. Intravoxel incoherent motion MR imaging: Comparison of diffusion and perfusion characteristics between nasopharyngeal carcinoma and post-chemoradiation fibrosis. </w:t>
      </w:r>
      <w:r w:rsidRPr="00A73396">
        <w:rPr>
          <w:rFonts w:ascii="Times New Roman" w:hAnsi="Times New Roman" w:cs="Times New Roman"/>
          <w:i/>
          <w:iCs/>
          <w:noProof/>
          <w:szCs w:val="24"/>
        </w:rPr>
        <w:t>Eur Radiol</w:t>
      </w:r>
      <w:r w:rsidRPr="00A73396">
        <w:rPr>
          <w:rFonts w:ascii="Times New Roman" w:hAnsi="Times New Roman" w:cs="Times New Roman"/>
          <w:noProof/>
          <w:szCs w:val="24"/>
        </w:rPr>
        <w:t>. 2013;23(10):2793-2801. doi:10.1007/s00330-013-2889-8</w:t>
      </w:r>
    </w:p>
    <w:p w14:paraId="564125B6" w14:textId="77777777" w:rsidR="00A73396" w:rsidRPr="00A73396" w:rsidRDefault="00A73396" w:rsidP="00A73396">
      <w:pPr>
        <w:widowControl w:val="0"/>
        <w:autoSpaceDE w:val="0"/>
        <w:autoSpaceDN w:val="0"/>
        <w:adjustRightInd w:val="0"/>
        <w:spacing w:line="240" w:lineRule="auto"/>
        <w:ind w:left="640" w:hanging="640"/>
        <w:rPr>
          <w:rFonts w:ascii="Times New Roman" w:hAnsi="Times New Roman" w:cs="Times New Roman"/>
          <w:noProof/>
        </w:rPr>
      </w:pPr>
      <w:r w:rsidRPr="00A73396">
        <w:rPr>
          <w:rFonts w:ascii="Times New Roman" w:hAnsi="Times New Roman" w:cs="Times New Roman"/>
          <w:noProof/>
          <w:szCs w:val="24"/>
        </w:rPr>
        <w:t xml:space="preserve">39. </w:t>
      </w:r>
      <w:r w:rsidRPr="00A73396">
        <w:rPr>
          <w:rFonts w:ascii="Times New Roman" w:hAnsi="Times New Roman" w:cs="Times New Roman"/>
          <w:noProof/>
          <w:szCs w:val="24"/>
        </w:rPr>
        <w:tab/>
        <w:t xml:space="preserve">Zhang Y, Jin N, Deng J, Guo Y, White SB, Yang GY, Omary RA, Larson AC. Intra-voxel incoherent motion MRI in rodent model of diethylnitrosamine-induced liver fibrosis. </w:t>
      </w:r>
      <w:r w:rsidRPr="00A73396">
        <w:rPr>
          <w:rFonts w:ascii="Times New Roman" w:hAnsi="Times New Roman" w:cs="Times New Roman"/>
          <w:i/>
          <w:iCs/>
          <w:noProof/>
          <w:szCs w:val="24"/>
        </w:rPr>
        <w:t>Magn Reson Imaging</w:t>
      </w:r>
      <w:r w:rsidRPr="00A73396">
        <w:rPr>
          <w:rFonts w:ascii="Times New Roman" w:hAnsi="Times New Roman" w:cs="Times New Roman"/>
          <w:noProof/>
          <w:szCs w:val="24"/>
        </w:rPr>
        <w:t>. 2013;31(6):1017-1021. doi:10.1016/j.mri.2013.03.007</w:t>
      </w:r>
    </w:p>
    <w:p w14:paraId="3B884DEB" w14:textId="2D18115F" w:rsidR="00A61D81" w:rsidRPr="00A61D81" w:rsidRDefault="00067D62" w:rsidP="00561969">
      <w:pPr>
        <w:pStyle w:val="Rubrik1"/>
      </w:pPr>
      <w:r>
        <w:lastRenderedPageBreak/>
        <w:fldChar w:fldCharType="end"/>
      </w:r>
      <w:r w:rsidR="00A61D81" w:rsidRPr="00A61D81">
        <w:t>Tables</w:t>
      </w:r>
    </w:p>
    <w:p w14:paraId="7721FC92" w14:textId="77777777" w:rsidR="00AE0186" w:rsidRPr="00AE0186" w:rsidRDefault="00AE0186" w:rsidP="00AE0186">
      <w:pPr>
        <w:spacing w:after="0" w:line="240" w:lineRule="auto"/>
        <w:rPr>
          <w:rFonts w:ascii="Times New Roman" w:eastAsia="Calibri" w:hAnsi="Times New Roman" w:cs="Times New Roman"/>
        </w:rPr>
      </w:pPr>
      <w:r w:rsidRPr="00AE0186">
        <w:rPr>
          <w:rFonts w:ascii="Times New Roman" w:eastAsia="Calibri" w:hAnsi="Times New Roman" w:cs="Times New Roman"/>
          <w:b/>
        </w:rPr>
        <w:t>Table 1</w:t>
      </w:r>
      <w:r w:rsidRPr="00AE0186">
        <w:rPr>
          <w:rFonts w:ascii="Times New Roman" w:eastAsia="Calibri" w:hAnsi="Times New Roman" w:cs="Times New Roman"/>
        </w:rPr>
        <w:t>: MR examinations and pulse sequence parameters</w:t>
      </w:r>
    </w:p>
    <w:p w14:paraId="6DE362D3" w14:textId="77777777" w:rsidR="00AE0186" w:rsidRPr="00AE0186" w:rsidRDefault="00AE0186" w:rsidP="00AE0186">
      <w:pPr>
        <w:spacing w:after="0" w:line="240" w:lineRule="auto"/>
        <w:rPr>
          <w:rFonts w:ascii="Times New Roman" w:eastAsia="Calibri" w:hAnsi="Times New Roman" w:cs="Times New Roman"/>
        </w:rPr>
      </w:pPr>
    </w:p>
    <w:tbl>
      <w:tblPr>
        <w:tblStyle w:val="Tabellrutnt"/>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74"/>
        <w:gridCol w:w="6914"/>
      </w:tblGrid>
      <w:tr w:rsidR="00AE0186" w:rsidRPr="00AE0186" w14:paraId="43A5E9EA" w14:textId="77777777" w:rsidTr="00A42221">
        <w:tc>
          <w:tcPr>
            <w:tcW w:w="0" w:type="auto"/>
          </w:tcPr>
          <w:p w14:paraId="4753272C" w14:textId="77777777" w:rsidR="00AE0186" w:rsidRPr="00AE0186" w:rsidRDefault="00AE0186" w:rsidP="00A42221">
            <w:pPr>
              <w:spacing w:after="0" w:line="240" w:lineRule="auto"/>
              <w:rPr>
                <w:rFonts w:ascii="Times New Roman" w:eastAsia="Calibri" w:hAnsi="Times New Roman" w:cs="Times New Roman"/>
                <w:b/>
              </w:rPr>
            </w:pPr>
            <w:r w:rsidRPr="00AE0186">
              <w:rPr>
                <w:rFonts w:ascii="Times New Roman" w:eastAsia="Calibri" w:hAnsi="Times New Roman" w:cs="Times New Roman"/>
                <w:b/>
              </w:rPr>
              <w:t>MR technique &amp;</w:t>
            </w:r>
          </w:p>
          <w:p w14:paraId="5C1299D3" w14:textId="77777777" w:rsidR="00AE0186" w:rsidRPr="00AE0186" w:rsidRDefault="00AE0186" w:rsidP="00A42221">
            <w:pPr>
              <w:spacing w:after="0" w:line="240" w:lineRule="auto"/>
              <w:rPr>
                <w:rFonts w:ascii="Times New Roman" w:eastAsia="Calibri" w:hAnsi="Times New Roman" w:cs="Times New Roman"/>
                <w:b/>
              </w:rPr>
            </w:pPr>
            <w:r w:rsidRPr="00AE0186">
              <w:rPr>
                <w:rFonts w:ascii="Times New Roman" w:eastAsia="Calibri" w:hAnsi="Times New Roman" w:cs="Times New Roman"/>
                <w:b/>
              </w:rPr>
              <w:t>Pulse sequence</w:t>
            </w:r>
          </w:p>
        </w:tc>
        <w:tc>
          <w:tcPr>
            <w:tcW w:w="0" w:type="auto"/>
          </w:tcPr>
          <w:p w14:paraId="50A4217F" w14:textId="77777777" w:rsidR="00AE0186" w:rsidRPr="00AE0186" w:rsidRDefault="00AE0186" w:rsidP="00A42221">
            <w:pPr>
              <w:spacing w:after="0" w:line="240" w:lineRule="auto"/>
              <w:rPr>
                <w:rFonts w:ascii="Times New Roman" w:eastAsia="Calibri" w:hAnsi="Times New Roman" w:cs="Times New Roman"/>
                <w:b/>
              </w:rPr>
            </w:pPr>
            <w:r w:rsidRPr="00AE0186">
              <w:rPr>
                <w:rFonts w:ascii="Times New Roman" w:eastAsia="Calibri" w:hAnsi="Times New Roman" w:cs="Times New Roman"/>
                <w:b/>
              </w:rPr>
              <w:t>Pulse sequence parameters</w:t>
            </w:r>
          </w:p>
        </w:tc>
      </w:tr>
      <w:tr w:rsidR="00AE0186" w:rsidRPr="00AE0186" w14:paraId="00E697BB" w14:textId="77777777" w:rsidTr="00A42221">
        <w:tc>
          <w:tcPr>
            <w:tcW w:w="0" w:type="auto"/>
          </w:tcPr>
          <w:p w14:paraId="4F0B9B9C" w14:textId="77777777" w:rsidR="00AE0186" w:rsidRPr="00AE0186" w:rsidRDefault="00AE0186" w:rsidP="00A42221">
            <w:pPr>
              <w:spacing w:after="0" w:line="240" w:lineRule="auto"/>
              <w:rPr>
                <w:rFonts w:ascii="Times New Roman" w:eastAsia="Calibri" w:hAnsi="Times New Roman" w:cs="Times New Roman"/>
                <w:lang w:val="sv-SE"/>
              </w:rPr>
            </w:pPr>
            <w:r w:rsidRPr="00AE0186">
              <w:rPr>
                <w:rFonts w:ascii="Times New Roman" w:eastAsia="Calibri" w:hAnsi="Times New Roman" w:cs="Times New Roman"/>
                <w:lang w:val="sv-SE"/>
              </w:rPr>
              <w:t>IVIM-DWI</w:t>
            </w:r>
          </w:p>
          <w:p w14:paraId="0B5D9534" w14:textId="77777777" w:rsidR="00AE0186" w:rsidRPr="00AE0186" w:rsidRDefault="00AE0186" w:rsidP="00A42221">
            <w:pPr>
              <w:spacing w:after="0" w:line="240" w:lineRule="auto"/>
              <w:rPr>
                <w:rFonts w:ascii="Times New Roman" w:eastAsia="Calibri" w:hAnsi="Times New Roman" w:cs="Times New Roman"/>
                <w:lang w:val="sv-SE"/>
              </w:rPr>
            </w:pPr>
          </w:p>
          <w:p w14:paraId="2031A417" w14:textId="77777777" w:rsidR="00AE0186" w:rsidRPr="00AE0186" w:rsidRDefault="00AE0186" w:rsidP="00A42221">
            <w:pPr>
              <w:spacing w:after="0" w:line="240" w:lineRule="auto"/>
              <w:rPr>
                <w:rFonts w:ascii="Times New Roman" w:eastAsia="Calibri" w:hAnsi="Times New Roman" w:cs="Times New Roman"/>
                <w:lang w:val="sv-SE"/>
              </w:rPr>
            </w:pPr>
            <w:r w:rsidRPr="00AE0186">
              <w:rPr>
                <w:rFonts w:ascii="Times New Roman" w:eastAsia="Calibri" w:hAnsi="Times New Roman" w:cs="Times New Roman"/>
                <w:lang w:val="sv-SE"/>
              </w:rPr>
              <w:t>2D SE-EPI</w:t>
            </w:r>
          </w:p>
        </w:tc>
        <w:tc>
          <w:tcPr>
            <w:tcW w:w="0" w:type="auto"/>
          </w:tcPr>
          <w:p w14:paraId="2B70C2AD"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3 orthogonal gradient directions, gradient separation/duration: 9/4 ms</w:t>
            </w:r>
          </w:p>
          <w:p w14:paraId="1FE922CB"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9 </w:t>
            </w:r>
            <w:r w:rsidRPr="00AE0186">
              <w:rPr>
                <w:rFonts w:ascii="Times New Roman" w:eastAsia="Calibri" w:hAnsi="Times New Roman" w:cs="Times New Roman"/>
                <w:i/>
              </w:rPr>
              <w:t>b</w:t>
            </w:r>
            <w:r w:rsidRPr="00AE0186">
              <w:rPr>
                <w:rFonts w:ascii="Times New Roman" w:eastAsia="Calibri" w:hAnsi="Times New Roman" w:cs="Times New Roman"/>
              </w:rPr>
              <w:t>-values: 0, 5, 10, 20, 35, 50, 75, 100, 200, 400, 600 and 800 s/mm</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w:t>
            </w:r>
          </w:p>
          <w:p w14:paraId="4DE88536"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TR: 1500 ms, TE: 21 ms, number of averages/segments: 3/1</w:t>
            </w:r>
          </w:p>
          <w:p w14:paraId="6C4B3CAF"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Effective bandwidth ≈ 300 kHz</w:t>
            </w:r>
          </w:p>
          <w:p w14:paraId="1D63FE23"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Partial Fourier acceleration: 1.5 </w:t>
            </w:r>
          </w:p>
          <w:p w14:paraId="2019423C"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Pixel size: 320</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μm</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slice thickness: 1000 μm, slice gap: 500 μm,</w:t>
            </w:r>
          </w:p>
          <w:p w14:paraId="040EB026"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Fat suppression: frequency selective </w:t>
            </w:r>
          </w:p>
          <w:p w14:paraId="428845B2"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Scan time &lt; 6 minutes</w:t>
            </w:r>
          </w:p>
        </w:tc>
      </w:tr>
      <w:tr w:rsidR="00AE0186" w:rsidRPr="00AE0186" w14:paraId="5F3BEBEA" w14:textId="77777777" w:rsidTr="00A42221">
        <w:tc>
          <w:tcPr>
            <w:tcW w:w="0" w:type="auto"/>
          </w:tcPr>
          <w:p w14:paraId="2957A126"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T2*-mapping</w:t>
            </w:r>
          </w:p>
          <w:p w14:paraId="21CDFBD6" w14:textId="77777777" w:rsidR="00AE0186" w:rsidRPr="00AE0186" w:rsidRDefault="00AE0186" w:rsidP="00A42221">
            <w:pPr>
              <w:spacing w:after="0" w:line="240" w:lineRule="auto"/>
              <w:rPr>
                <w:rFonts w:ascii="Times New Roman" w:eastAsia="Calibri" w:hAnsi="Times New Roman" w:cs="Times New Roman"/>
              </w:rPr>
            </w:pPr>
          </w:p>
          <w:p w14:paraId="7642F53A"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Multiple echo gradient echo (MGE)</w:t>
            </w:r>
          </w:p>
        </w:tc>
        <w:tc>
          <w:tcPr>
            <w:tcW w:w="0" w:type="auto"/>
          </w:tcPr>
          <w:p w14:paraId="01C6A846" w14:textId="77777777" w:rsidR="00AE0186" w:rsidRPr="00AE0186" w:rsidRDefault="00AE0186" w:rsidP="00A42221">
            <w:pPr>
              <w:tabs>
                <w:tab w:val="center" w:pos="3648"/>
              </w:tabs>
              <w:spacing w:after="0" w:line="240" w:lineRule="auto"/>
              <w:rPr>
                <w:rFonts w:ascii="Times New Roman" w:eastAsia="Calibri" w:hAnsi="Times New Roman" w:cs="Times New Roman"/>
              </w:rPr>
            </w:pPr>
            <w:r w:rsidRPr="00AE0186">
              <w:rPr>
                <w:rFonts w:ascii="Times New Roman" w:eastAsia="Calibri" w:hAnsi="Times New Roman" w:cs="Times New Roman"/>
              </w:rPr>
              <w:t>10 echoes (TE): 5, 10, 15, … 50 ms</w:t>
            </w:r>
          </w:p>
          <w:p w14:paraId="3D323A68" w14:textId="3FDE1FBE"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TR: 2000 ms, number of averages:  1, flip angle</w:t>
            </w:r>
            <w:r w:rsidR="0072513B">
              <w:rPr>
                <w:rFonts w:ascii="Times New Roman" w:eastAsia="Calibri" w:hAnsi="Times New Roman" w:cs="Times New Roman"/>
              </w:rPr>
              <w:t>:</w:t>
            </w:r>
            <w:r w:rsidRPr="00AE0186">
              <w:rPr>
                <w:rFonts w:ascii="Times New Roman" w:eastAsia="Calibri" w:hAnsi="Times New Roman" w:cs="Times New Roman"/>
              </w:rPr>
              <w:t xml:space="preserve"> 30 degrees</w:t>
            </w:r>
          </w:p>
          <w:p w14:paraId="4AF76B5E"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Slice positions imported from IVIM-DWI experiment </w:t>
            </w:r>
          </w:p>
          <w:p w14:paraId="10DEDFD9" w14:textId="477489F3" w:rsidR="00AE0186" w:rsidRPr="00AE0186" w:rsidRDefault="00AE0186" w:rsidP="00A42221">
            <w:pPr>
              <w:spacing w:after="0" w:line="240" w:lineRule="auto"/>
              <w:rPr>
                <w:rFonts w:ascii="Times New Roman" w:eastAsia="Calibri" w:hAnsi="Times New Roman" w:cs="Times New Roman"/>
                <w:i/>
              </w:rPr>
            </w:pPr>
            <w:r w:rsidRPr="00AE0186">
              <w:rPr>
                <w:rFonts w:ascii="Times New Roman" w:eastAsia="Calibri" w:hAnsi="Times New Roman" w:cs="Times New Roman"/>
              </w:rPr>
              <w:t>Pixel size</w:t>
            </w:r>
            <w:r w:rsidR="0072513B">
              <w:rPr>
                <w:rFonts w:ascii="Times New Roman" w:eastAsia="Calibri" w:hAnsi="Times New Roman" w:cs="Times New Roman"/>
              </w:rPr>
              <w:t>:</w:t>
            </w:r>
            <w:r w:rsidRPr="00AE0186">
              <w:rPr>
                <w:rFonts w:ascii="Times New Roman" w:eastAsia="Calibri" w:hAnsi="Times New Roman" w:cs="Times New Roman"/>
              </w:rPr>
              <w:t xml:space="preserve"> 160</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μm</w:t>
            </w:r>
            <w:r w:rsidRPr="00AE0186">
              <w:rPr>
                <w:rFonts w:ascii="Times New Roman" w:eastAsia="Calibri" w:hAnsi="Times New Roman" w:cs="Times New Roman"/>
                <w:vertAlign w:val="superscript"/>
              </w:rPr>
              <w:t>2</w:t>
            </w:r>
            <w:r w:rsidR="0072513B">
              <w:rPr>
                <w:rFonts w:ascii="Times New Roman" w:eastAsia="Calibri" w:hAnsi="Times New Roman" w:cs="Times New Roman"/>
              </w:rPr>
              <w:t xml:space="preserve">, </w:t>
            </w:r>
            <w:r w:rsidR="0072513B" w:rsidRPr="00AE0186">
              <w:rPr>
                <w:rFonts w:ascii="Times New Roman" w:eastAsia="Calibri" w:hAnsi="Times New Roman" w:cs="Times New Roman"/>
              </w:rPr>
              <w:t>slice thickness: 1000 µm</w:t>
            </w:r>
          </w:p>
          <w:p w14:paraId="513E547C"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No fat suppression</w:t>
            </w:r>
            <w:r w:rsidRPr="00AE0186">
              <w:rPr>
                <w:rFonts w:ascii="Times New Roman" w:eastAsia="Calibri" w:hAnsi="Times New Roman" w:cs="Times New Roman"/>
                <w:color w:val="7030A0"/>
              </w:rPr>
              <w:br/>
            </w:r>
            <w:r w:rsidRPr="00AE0186">
              <w:rPr>
                <w:rFonts w:ascii="Times New Roman" w:eastAsia="Calibri" w:hAnsi="Times New Roman" w:cs="Times New Roman"/>
              </w:rPr>
              <w:t>Scan time &lt; 4 minutes</w:t>
            </w:r>
          </w:p>
        </w:tc>
      </w:tr>
      <w:tr w:rsidR="00AE0186" w:rsidRPr="00AE0186" w14:paraId="0B539451" w14:textId="77777777" w:rsidTr="00A42221">
        <w:tc>
          <w:tcPr>
            <w:tcW w:w="0" w:type="auto"/>
          </w:tcPr>
          <w:p w14:paraId="18D66C2B"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T1-mapping</w:t>
            </w:r>
          </w:p>
          <w:p w14:paraId="75006045" w14:textId="77777777" w:rsidR="00AE0186" w:rsidRPr="00AE0186" w:rsidRDefault="00AE0186" w:rsidP="00A42221">
            <w:pPr>
              <w:spacing w:after="0" w:line="240" w:lineRule="auto"/>
              <w:rPr>
                <w:rFonts w:ascii="Times New Roman" w:eastAsia="Calibri" w:hAnsi="Times New Roman" w:cs="Times New Roman"/>
              </w:rPr>
            </w:pPr>
          </w:p>
          <w:p w14:paraId="2A7A2F2E"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2D RARE (RAREVTR)</w:t>
            </w:r>
          </w:p>
          <w:p w14:paraId="2C70B1C8" w14:textId="77777777" w:rsidR="00AE0186" w:rsidRPr="00AE0186" w:rsidRDefault="00AE0186" w:rsidP="00A42221">
            <w:pPr>
              <w:spacing w:after="0" w:line="240" w:lineRule="auto"/>
              <w:rPr>
                <w:rFonts w:ascii="Times New Roman" w:eastAsia="Calibri" w:hAnsi="Times New Roman" w:cs="Times New Roman"/>
              </w:rPr>
            </w:pPr>
          </w:p>
          <w:p w14:paraId="7A6116BA" w14:textId="77777777" w:rsidR="00AE0186" w:rsidRPr="00AE0186" w:rsidRDefault="00AE0186" w:rsidP="00A42221">
            <w:pPr>
              <w:spacing w:after="0" w:line="240" w:lineRule="auto"/>
              <w:rPr>
                <w:rFonts w:ascii="Times New Roman" w:eastAsia="Calibri" w:hAnsi="Times New Roman" w:cs="Times New Roman"/>
              </w:rPr>
            </w:pPr>
          </w:p>
        </w:tc>
        <w:tc>
          <w:tcPr>
            <w:tcW w:w="0" w:type="auto"/>
          </w:tcPr>
          <w:p w14:paraId="79B1CBF0"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7 TR: 13000, 9000, 4500, 2500, 1500, 750, 300 ms</w:t>
            </w:r>
          </w:p>
          <w:p w14:paraId="34E9A575"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TE: 24 ms, number of averages: 1, RARE factor: 4</w:t>
            </w:r>
          </w:p>
          <w:p w14:paraId="027D494E"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Refocusing flip angle: 180 degrees, </w:t>
            </w:r>
          </w:p>
          <w:p w14:paraId="1B71F9F9" w14:textId="26299BC8"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Pixel size</w:t>
            </w:r>
            <w:r w:rsidR="0072513B">
              <w:rPr>
                <w:rFonts w:ascii="Times New Roman" w:eastAsia="Calibri" w:hAnsi="Times New Roman" w:cs="Times New Roman"/>
              </w:rPr>
              <w:t>:</w:t>
            </w:r>
            <w:r w:rsidRPr="00AE0186">
              <w:rPr>
                <w:rFonts w:ascii="Times New Roman" w:eastAsia="Calibri" w:hAnsi="Times New Roman" w:cs="Times New Roman"/>
              </w:rPr>
              <w:t xml:space="preserve"> 280</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μm</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slice thickness: 1000 µm, single slice</w:t>
            </w:r>
          </w:p>
          <w:p w14:paraId="7E8F879E"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Slice positions imported from IVIM-DWI experiment (central slice)</w:t>
            </w:r>
          </w:p>
          <w:p w14:paraId="6352B826"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No fat suppression</w:t>
            </w:r>
          </w:p>
          <w:p w14:paraId="776F7E77"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Scan time &lt; 10 minutes</w:t>
            </w:r>
            <w:r w:rsidRPr="00AE0186">
              <w:rPr>
                <w:rFonts w:ascii="Times New Roman" w:eastAsia="Calibri" w:hAnsi="Times New Roman" w:cs="Times New Roman"/>
                <w:color w:val="7030A0"/>
              </w:rPr>
              <w:t xml:space="preserve"> </w:t>
            </w:r>
          </w:p>
        </w:tc>
      </w:tr>
      <w:tr w:rsidR="00AE0186" w:rsidRPr="00AE0186" w14:paraId="7457AA40" w14:textId="77777777" w:rsidTr="00A42221">
        <w:tc>
          <w:tcPr>
            <w:tcW w:w="0" w:type="auto"/>
          </w:tcPr>
          <w:p w14:paraId="206DAF49"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DCE-MRI</w:t>
            </w:r>
          </w:p>
          <w:p w14:paraId="2AEA3E6A" w14:textId="77777777" w:rsidR="00AE0186" w:rsidRPr="00AE0186" w:rsidRDefault="00AE0186" w:rsidP="00A42221">
            <w:pPr>
              <w:spacing w:after="0" w:line="240" w:lineRule="auto"/>
              <w:rPr>
                <w:rFonts w:ascii="Times New Roman" w:eastAsia="Calibri" w:hAnsi="Times New Roman" w:cs="Times New Roman"/>
              </w:rPr>
            </w:pPr>
          </w:p>
          <w:p w14:paraId="77693981"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2D RARE</w:t>
            </w:r>
          </w:p>
        </w:tc>
        <w:tc>
          <w:tcPr>
            <w:tcW w:w="0" w:type="auto"/>
          </w:tcPr>
          <w:p w14:paraId="1ACFF144"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Number of repetitions (dynamics): 100, temporal resolution: 4.2 s (varied slightly with FOV), contrast injection during sixth dynamic </w:t>
            </w:r>
          </w:p>
          <w:p w14:paraId="36678AA8"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TR: 300 ms, TE: 24 ms, number of averages: 1, RARE factor: 4</w:t>
            </w:r>
          </w:p>
          <w:p w14:paraId="3D3F176A"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Partial Fourier acceleration: 1.5</w:t>
            </w:r>
          </w:p>
          <w:p w14:paraId="387202D1" w14:textId="240B707B"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Pixel size</w:t>
            </w:r>
            <w:r w:rsidR="0072513B">
              <w:rPr>
                <w:rFonts w:ascii="Times New Roman" w:eastAsia="Calibri" w:hAnsi="Times New Roman" w:cs="Times New Roman"/>
              </w:rPr>
              <w:t>:</w:t>
            </w:r>
            <w:r w:rsidRPr="00AE0186">
              <w:rPr>
                <w:rFonts w:ascii="Times New Roman" w:eastAsia="Calibri" w:hAnsi="Times New Roman" w:cs="Times New Roman"/>
              </w:rPr>
              <w:t xml:space="preserve"> 280</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μm</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slice thickness: 1000 µm, single slice</w:t>
            </w:r>
          </w:p>
          <w:p w14:paraId="08E2E671"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Slice positions imported from IVIM-DWI experiment (central slice)</w:t>
            </w:r>
          </w:p>
          <w:p w14:paraId="03AF40B7"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Fat suppression: frequency selective </w:t>
            </w:r>
          </w:p>
          <w:p w14:paraId="755260C7"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Scan time &lt; 8 minutes</w:t>
            </w:r>
          </w:p>
        </w:tc>
      </w:tr>
      <w:tr w:rsidR="00AE0186" w:rsidRPr="00AE0186" w14:paraId="31BD9144" w14:textId="77777777" w:rsidTr="00A42221">
        <w:tc>
          <w:tcPr>
            <w:tcW w:w="0" w:type="auto"/>
          </w:tcPr>
          <w:p w14:paraId="622B521C"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T2 weighted MRI</w:t>
            </w:r>
          </w:p>
          <w:p w14:paraId="32F9D590" w14:textId="77777777" w:rsidR="00AE0186" w:rsidRPr="00AE0186" w:rsidRDefault="00AE0186" w:rsidP="00A42221">
            <w:pPr>
              <w:spacing w:after="0" w:line="240" w:lineRule="auto"/>
              <w:rPr>
                <w:rFonts w:ascii="Times New Roman" w:eastAsia="Calibri" w:hAnsi="Times New Roman" w:cs="Times New Roman"/>
              </w:rPr>
            </w:pPr>
          </w:p>
          <w:p w14:paraId="3582C38A"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2D RARE</w:t>
            </w:r>
          </w:p>
        </w:tc>
        <w:tc>
          <w:tcPr>
            <w:tcW w:w="0" w:type="auto"/>
          </w:tcPr>
          <w:p w14:paraId="749450E2"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TR: 4190 ms, TE: 45 ms, number of averages: 2, RARE factor: 6 </w:t>
            </w:r>
          </w:p>
          <w:p w14:paraId="78EFE070" w14:textId="65E6E244"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Pixel size: (160±50)</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µm</w:t>
            </w:r>
            <w:r w:rsidRPr="00AE0186">
              <w:rPr>
                <w:rFonts w:ascii="Times New Roman" w:eastAsia="Calibri" w:hAnsi="Times New Roman" w:cs="Times New Roman"/>
                <w:vertAlign w:val="superscript"/>
              </w:rPr>
              <w:t>2</w:t>
            </w:r>
            <w:r w:rsidRPr="00AE0186">
              <w:rPr>
                <w:rFonts w:ascii="Times New Roman" w:eastAsia="Calibri" w:hAnsi="Times New Roman" w:cs="Times New Roman"/>
              </w:rPr>
              <w:t xml:space="preserve"> (varied with FOV)</w:t>
            </w:r>
            <w:r w:rsidRPr="00AE0186">
              <w:rPr>
                <w:rFonts w:ascii="Times New Roman" w:eastAsia="Calibri" w:hAnsi="Times New Roman" w:cs="Times New Roman"/>
                <w:vertAlign w:val="superscript"/>
              </w:rPr>
              <w:t xml:space="preserve"> </w:t>
            </w:r>
            <w:r w:rsidRPr="00AE0186">
              <w:rPr>
                <w:rFonts w:ascii="Times New Roman" w:eastAsia="Calibri" w:hAnsi="Times New Roman" w:cs="Times New Roman"/>
              </w:rPr>
              <w:t xml:space="preserve"> </w:t>
            </w:r>
            <w:r w:rsidRPr="00AE0186">
              <w:rPr>
                <w:rFonts w:ascii="Times New Roman" w:eastAsia="Calibri" w:hAnsi="Times New Roman" w:cs="Times New Roman"/>
              </w:rPr>
              <w:br/>
              <w:t>Slice thickness: 700 µm, no slice gap</w:t>
            </w:r>
          </w:p>
          <w:p w14:paraId="25823016" w14:textId="6DA920DF"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 xml:space="preserve">Fat suppression: frequency selective </w:t>
            </w:r>
          </w:p>
          <w:p w14:paraId="0E7B782A" w14:textId="77777777" w:rsidR="00AE0186" w:rsidRPr="00AE0186" w:rsidRDefault="00AE0186" w:rsidP="00A42221">
            <w:pPr>
              <w:spacing w:after="0" w:line="240" w:lineRule="auto"/>
              <w:rPr>
                <w:rFonts w:ascii="Times New Roman" w:eastAsia="Calibri" w:hAnsi="Times New Roman" w:cs="Times New Roman"/>
              </w:rPr>
            </w:pPr>
            <w:r w:rsidRPr="00AE0186">
              <w:rPr>
                <w:rFonts w:ascii="Times New Roman" w:eastAsia="Calibri" w:hAnsi="Times New Roman" w:cs="Times New Roman"/>
              </w:rPr>
              <w:t>Scan time &lt; 4 min</w:t>
            </w:r>
          </w:p>
        </w:tc>
      </w:tr>
    </w:tbl>
    <w:p w14:paraId="507AA569" w14:textId="77777777" w:rsidR="00AE0186" w:rsidRPr="00AE0186" w:rsidRDefault="00AE0186" w:rsidP="00AE0186">
      <w:pPr>
        <w:rPr>
          <w:rFonts w:ascii="Times New Roman" w:eastAsia="Calibri" w:hAnsi="Times New Roman" w:cs="Times New Roman"/>
        </w:rPr>
      </w:pPr>
    </w:p>
    <w:p w14:paraId="0C288078" w14:textId="77777777" w:rsidR="00AE0186" w:rsidRPr="00AE0186" w:rsidRDefault="00AE0186" w:rsidP="00AE0186">
      <w:pPr>
        <w:rPr>
          <w:rFonts w:ascii="Times New Roman" w:eastAsia="Calibri" w:hAnsi="Times New Roman" w:cs="Times New Roman"/>
        </w:rPr>
      </w:pPr>
    </w:p>
    <w:p w14:paraId="08D52E79" w14:textId="77777777" w:rsidR="00CD7015" w:rsidRDefault="00CD7015">
      <w:pPr>
        <w:spacing w:after="200" w:line="276" w:lineRule="auto"/>
        <w:rPr>
          <w:rFonts w:ascii="Times New Roman" w:eastAsia="Calibri" w:hAnsi="Times New Roman" w:cs="Times New Roman"/>
          <w:b/>
        </w:rPr>
      </w:pPr>
      <w:r>
        <w:rPr>
          <w:rFonts w:ascii="Times New Roman" w:eastAsia="Calibri" w:hAnsi="Times New Roman" w:cs="Times New Roman"/>
          <w:b/>
        </w:rPr>
        <w:br w:type="page"/>
      </w:r>
    </w:p>
    <w:p w14:paraId="7564983E" w14:textId="77777777" w:rsidR="00AE0186" w:rsidRPr="00AE0186" w:rsidRDefault="00AE0186" w:rsidP="00AE0186">
      <w:pPr>
        <w:spacing w:after="200" w:line="276" w:lineRule="auto"/>
        <w:rPr>
          <w:rFonts w:ascii="Times New Roman" w:eastAsia="Calibri" w:hAnsi="Times New Roman" w:cs="Times New Roman"/>
        </w:rPr>
      </w:pPr>
      <w:r w:rsidRPr="00AE0186">
        <w:rPr>
          <w:rFonts w:ascii="Times New Roman" w:eastAsia="Calibri" w:hAnsi="Times New Roman" w:cs="Times New Roman"/>
          <w:b/>
        </w:rPr>
        <w:lastRenderedPageBreak/>
        <w:t>Table 2</w:t>
      </w:r>
      <w:r w:rsidRPr="00AE0186">
        <w:rPr>
          <w:rFonts w:ascii="Times New Roman" w:eastAsia="Calibri" w:hAnsi="Times New Roman" w:cs="Times New Roman"/>
        </w:rPr>
        <w:t>. MR parameter definitions</w:t>
      </w:r>
    </w:p>
    <w:tbl>
      <w:tblPr>
        <w:tblStyle w:val="Tabellrutnt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1981"/>
        <w:gridCol w:w="6355"/>
      </w:tblGrid>
      <w:tr w:rsidR="00AE0186" w:rsidRPr="00AE0186" w14:paraId="028C1F51" w14:textId="77777777" w:rsidTr="00A42221">
        <w:tc>
          <w:tcPr>
            <w:tcW w:w="2927" w:type="dxa"/>
            <w:gridSpan w:val="2"/>
            <w:tcBorders>
              <w:top w:val="single" w:sz="4" w:space="0" w:color="auto"/>
              <w:bottom w:val="single" w:sz="4" w:space="0" w:color="auto"/>
            </w:tcBorders>
          </w:tcPr>
          <w:p w14:paraId="2F317CE2" w14:textId="77777777" w:rsidR="00AE0186" w:rsidRPr="00AE0186" w:rsidRDefault="00AE0186" w:rsidP="00A42221">
            <w:pPr>
              <w:spacing w:after="80" w:line="240" w:lineRule="auto"/>
              <w:jc w:val="center"/>
              <w:rPr>
                <w:rFonts w:ascii="Times New Roman" w:hAnsi="Times New Roman" w:cs="Times New Roman"/>
                <w:b/>
                <w:sz w:val="22"/>
                <w:szCs w:val="22"/>
              </w:rPr>
            </w:pPr>
            <w:r w:rsidRPr="00AE0186">
              <w:rPr>
                <w:rFonts w:ascii="Times New Roman" w:hAnsi="Times New Roman" w:cs="Times New Roman"/>
                <w:b/>
                <w:sz w:val="22"/>
                <w:szCs w:val="22"/>
              </w:rPr>
              <w:t>Parameter</w:t>
            </w:r>
          </w:p>
        </w:tc>
        <w:tc>
          <w:tcPr>
            <w:tcW w:w="6355" w:type="dxa"/>
            <w:tcBorders>
              <w:top w:val="single" w:sz="4" w:space="0" w:color="auto"/>
              <w:bottom w:val="single" w:sz="4" w:space="0" w:color="auto"/>
            </w:tcBorders>
          </w:tcPr>
          <w:p w14:paraId="1890B568" w14:textId="77777777" w:rsidR="00AE0186" w:rsidRPr="00AE0186" w:rsidRDefault="00AE0186" w:rsidP="00A42221">
            <w:pPr>
              <w:spacing w:after="80" w:line="240" w:lineRule="auto"/>
              <w:jc w:val="center"/>
              <w:rPr>
                <w:rFonts w:ascii="Times New Roman" w:hAnsi="Times New Roman" w:cs="Times New Roman"/>
                <w:b/>
                <w:sz w:val="22"/>
                <w:szCs w:val="22"/>
              </w:rPr>
            </w:pPr>
            <w:r w:rsidRPr="00AE0186">
              <w:rPr>
                <w:rFonts w:ascii="Times New Roman" w:hAnsi="Times New Roman" w:cs="Times New Roman"/>
                <w:b/>
                <w:sz w:val="22"/>
                <w:szCs w:val="22"/>
              </w:rPr>
              <w:t>Description</w:t>
            </w:r>
          </w:p>
        </w:tc>
      </w:tr>
      <w:tr w:rsidR="00AE0186" w:rsidRPr="00AE0186" w14:paraId="35E38FF9" w14:textId="77777777" w:rsidTr="00A42221">
        <w:tc>
          <w:tcPr>
            <w:tcW w:w="9282" w:type="dxa"/>
            <w:gridSpan w:val="3"/>
            <w:tcBorders>
              <w:top w:val="single" w:sz="4" w:space="0" w:color="auto"/>
            </w:tcBorders>
          </w:tcPr>
          <w:p w14:paraId="549A134F" w14:textId="77777777" w:rsidR="00AE0186" w:rsidRPr="00AE0186" w:rsidRDefault="00AE0186" w:rsidP="00A42221">
            <w:pPr>
              <w:spacing w:after="80" w:line="240" w:lineRule="auto"/>
              <w:jc w:val="center"/>
              <w:rPr>
                <w:rFonts w:ascii="Times New Roman" w:hAnsi="Times New Roman" w:cs="Times New Roman"/>
                <w:b/>
                <w:sz w:val="22"/>
                <w:szCs w:val="22"/>
              </w:rPr>
            </w:pPr>
            <w:r w:rsidRPr="00AE0186">
              <w:rPr>
                <w:rFonts w:ascii="Times New Roman" w:hAnsi="Times New Roman" w:cs="Times New Roman"/>
                <w:b/>
                <w:sz w:val="22"/>
                <w:szCs w:val="22"/>
              </w:rPr>
              <w:t>Diffusion weighted imaging (DWI)</w:t>
            </w:r>
          </w:p>
        </w:tc>
      </w:tr>
      <w:tr w:rsidR="00AE0186" w:rsidRPr="00AE0186" w14:paraId="6A7207C7" w14:textId="77777777" w:rsidTr="00A42221">
        <w:tc>
          <w:tcPr>
            <w:tcW w:w="2927" w:type="dxa"/>
            <w:gridSpan w:val="2"/>
          </w:tcPr>
          <w:p w14:paraId="76171EDE" w14:textId="77777777" w:rsidR="00AE0186" w:rsidRPr="00AE0186" w:rsidRDefault="00AE0186" w:rsidP="00A42221">
            <w:pPr>
              <w:spacing w:after="80" w:line="240" w:lineRule="auto"/>
              <w:rPr>
                <w:rFonts w:ascii="Times New Roman" w:hAnsi="Times New Roman" w:cs="Times New Roman"/>
                <w:sz w:val="22"/>
                <w:szCs w:val="22"/>
              </w:rPr>
            </w:pPr>
          </w:p>
        </w:tc>
        <w:tc>
          <w:tcPr>
            <w:tcW w:w="6355" w:type="dxa"/>
          </w:tcPr>
          <w:p w14:paraId="70081B90" w14:textId="77777777" w:rsidR="00AE0186" w:rsidRPr="00AE0186" w:rsidRDefault="00AE0186" w:rsidP="00A42221">
            <w:pPr>
              <w:spacing w:after="80" w:line="240" w:lineRule="auto"/>
              <w:rPr>
                <w:rFonts w:ascii="Times New Roman" w:hAnsi="Times New Roman" w:cs="Times New Roman"/>
                <w:sz w:val="22"/>
                <w:szCs w:val="22"/>
                <w:u w:val="single"/>
              </w:rPr>
            </w:pPr>
            <w:r w:rsidRPr="00AE0186">
              <w:rPr>
                <w:rFonts w:ascii="Times New Roman" w:hAnsi="Times New Roman" w:cs="Times New Roman"/>
                <w:sz w:val="22"/>
                <w:szCs w:val="22"/>
                <w:u w:val="single"/>
              </w:rPr>
              <w:t>Intravoxel incoherent motion (IVIM)</w:t>
            </w:r>
          </w:p>
          <w:p w14:paraId="02165954" w14:textId="77777777" w:rsidR="00AE0186" w:rsidRPr="00AE0186" w:rsidRDefault="00AE0186" w:rsidP="00A42221">
            <w:pPr>
              <w:spacing w:before="120" w:after="120" w:line="240" w:lineRule="auto"/>
              <w:ind w:firstLineChars="6" w:firstLine="13"/>
              <w:rPr>
                <w:rFonts w:ascii="Times New Roman" w:eastAsia="Calibri" w:hAnsi="Times New Roman" w:cs="Times New Roman"/>
                <w:sz w:val="22"/>
                <w:szCs w:val="22"/>
              </w:rPr>
            </w:pPr>
            <m:oMathPara>
              <m:oMath>
                <m:r>
                  <w:rPr>
                    <w:rFonts w:ascii="Cambria Math" w:eastAsia="Calibri" w:hAnsi="Cambria Math" w:cs="Times New Roman"/>
                    <w:sz w:val="22"/>
                    <w:szCs w:val="22"/>
                  </w:rPr>
                  <m:t>S(b)=</m:t>
                </m:r>
                <m:sSub>
                  <m:sSubPr>
                    <m:ctrlPr>
                      <w:rPr>
                        <w:rFonts w:ascii="Cambria Math" w:eastAsia="Calibri" w:hAnsi="Cambria Math" w:cs="Times New Roman"/>
                        <w:i/>
                        <w:sz w:val="22"/>
                        <w:szCs w:val="22"/>
                      </w:rPr>
                    </m:ctrlPr>
                  </m:sSubPr>
                  <m:e>
                    <m:r>
                      <w:rPr>
                        <w:rFonts w:ascii="Cambria Math" w:eastAsia="Calibri" w:hAnsi="Cambria Math" w:cs="Times New Roman"/>
                        <w:sz w:val="22"/>
                        <w:szCs w:val="22"/>
                      </w:rPr>
                      <m:t>S</m:t>
                    </m:r>
                  </m:e>
                  <m:sub>
                    <m:r>
                      <w:rPr>
                        <w:rFonts w:ascii="Cambria Math" w:eastAsia="Calibri" w:hAnsi="Cambria Math" w:cs="Times New Roman"/>
                        <w:sz w:val="22"/>
                        <w:szCs w:val="22"/>
                      </w:rPr>
                      <m:t>0</m:t>
                    </m:r>
                  </m:sub>
                </m:sSub>
                <m:d>
                  <m:dPr>
                    <m:ctrlPr>
                      <w:rPr>
                        <w:rFonts w:ascii="Cambria Math" w:eastAsia="Calibri" w:hAnsi="Cambria Math" w:cs="Times New Roman"/>
                        <w:i/>
                        <w:sz w:val="22"/>
                        <w:szCs w:val="22"/>
                      </w:rPr>
                    </m:ctrlPr>
                  </m:dPr>
                  <m:e>
                    <m:r>
                      <w:rPr>
                        <w:rFonts w:ascii="Cambria Math" w:eastAsia="Calibri" w:hAnsi="Cambria Math" w:cs="Times New Roman"/>
                        <w:sz w:val="22"/>
                        <w:szCs w:val="22"/>
                      </w:rPr>
                      <m:t>1-f</m:t>
                    </m:r>
                  </m:e>
                </m:d>
                <m:r>
                  <w:rPr>
                    <w:rFonts w:ascii="Cambria Math" w:eastAsia="Calibri" w:hAnsi="Cambria Math" w:cs="Times New Roman"/>
                    <w:sz w:val="22"/>
                    <w:szCs w:val="22"/>
                  </w:rPr>
                  <m:t>∙</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e</m:t>
                    </m:r>
                  </m:e>
                  <m:sup>
                    <m:r>
                      <w:rPr>
                        <w:rFonts w:ascii="Cambria Math" w:eastAsia="Calibri" w:hAnsi="Cambria Math" w:cs="Times New Roman"/>
                        <w:sz w:val="22"/>
                        <w:szCs w:val="22"/>
                      </w:rPr>
                      <m:t>-bD</m:t>
                    </m:r>
                  </m:sup>
                </m:sSup>
                <m:r>
                  <w:rPr>
                    <w:rFonts w:ascii="Cambria Math" w:eastAsia="Calibri" w:hAnsi="Cambria Math" w:cs="Times New Roman"/>
                    <w:sz w:val="22"/>
                    <w:szCs w:val="22"/>
                  </w:rPr>
                  <m:t>+</m:t>
                </m:r>
                <m:sSub>
                  <m:sSubPr>
                    <m:ctrlPr>
                      <w:rPr>
                        <w:rFonts w:ascii="Cambria Math" w:eastAsia="Calibri" w:hAnsi="Cambria Math" w:cs="Times New Roman"/>
                        <w:i/>
                        <w:sz w:val="22"/>
                        <w:szCs w:val="22"/>
                      </w:rPr>
                    </m:ctrlPr>
                  </m:sSubPr>
                  <m:e>
                    <m:r>
                      <w:rPr>
                        <w:rFonts w:ascii="Cambria Math" w:eastAsia="Calibri" w:hAnsi="Cambria Math" w:cs="Times New Roman"/>
                        <w:sz w:val="22"/>
                        <w:szCs w:val="22"/>
                      </w:rPr>
                      <m:t>S</m:t>
                    </m:r>
                  </m:e>
                  <m:sub>
                    <m:r>
                      <w:rPr>
                        <w:rFonts w:ascii="Cambria Math" w:eastAsia="Calibri" w:hAnsi="Cambria Math" w:cs="Times New Roman"/>
                        <w:sz w:val="22"/>
                        <w:szCs w:val="22"/>
                      </w:rPr>
                      <m:t>0</m:t>
                    </m:r>
                  </m:sub>
                </m:sSub>
                <m:r>
                  <w:rPr>
                    <w:rFonts w:ascii="Cambria Math" w:eastAsia="Calibri" w:hAnsi="Cambria Math" w:cs="Times New Roman"/>
                    <w:sz w:val="22"/>
                    <w:szCs w:val="22"/>
                  </w:rPr>
                  <m:t>f∙</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e</m:t>
                    </m:r>
                  </m:e>
                  <m:sup>
                    <m:r>
                      <w:rPr>
                        <w:rFonts w:ascii="Cambria Math" w:eastAsia="Calibri" w:hAnsi="Cambria Math" w:cs="Times New Roman"/>
                        <w:sz w:val="22"/>
                        <w:szCs w:val="22"/>
                      </w:rPr>
                      <m:t>-b(D+</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D</m:t>
                        </m:r>
                      </m:e>
                      <m:sup>
                        <m:r>
                          <w:rPr>
                            <w:rFonts w:ascii="Cambria Math" w:eastAsia="Calibri" w:hAnsi="Cambria Math" w:cs="Times New Roman"/>
                            <w:sz w:val="22"/>
                            <w:szCs w:val="22"/>
                          </w:rPr>
                          <m:t>*</m:t>
                        </m:r>
                      </m:sup>
                    </m:sSup>
                    <m:r>
                      <w:rPr>
                        <w:rFonts w:ascii="Cambria Math" w:eastAsia="Calibri" w:hAnsi="Cambria Math" w:cs="Times New Roman"/>
                        <w:sz w:val="22"/>
                        <w:szCs w:val="22"/>
                      </w:rPr>
                      <m:t>)</m:t>
                    </m:r>
                  </m:sup>
                </m:sSup>
              </m:oMath>
            </m:oMathPara>
          </w:p>
          <w:p w14:paraId="2E6DA24A"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0</w:t>
            </w:r>
            <w:r w:rsidRPr="00AE0186">
              <w:rPr>
                <w:rFonts w:ascii="Times New Roman" w:hAnsi="Times New Roman" w:cs="Times New Roman"/>
                <w:sz w:val="22"/>
                <w:szCs w:val="22"/>
              </w:rPr>
              <w:t>: signal without diffusion weighting</w:t>
            </w:r>
          </w:p>
          <w:p w14:paraId="3EF7C242" w14:textId="54D2D9D0" w:rsidR="00AE0186" w:rsidRPr="00AE0186" w:rsidRDefault="00AE0186" w:rsidP="00A42221">
            <w:pPr>
              <w:spacing w:after="80" w:line="240" w:lineRule="auto"/>
              <w:rPr>
                <w:rFonts w:ascii="Times New Roman" w:eastAsia="Calibri" w:hAnsi="Times New Roman" w:cs="Times New Roman"/>
                <w:sz w:val="22"/>
                <w:szCs w:val="22"/>
              </w:rPr>
            </w:pPr>
            <w:r w:rsidRPr="00AE0186">
              <w:rPr>
                <w:rFonts w:ascii="Times New Roman" w:eastAsia="Calibri" w:hAnsi="Times New Roman" w:cs="Times New Roman"/>
                <w:sz w:val="22"/>
                <w:szCs w:val="22"/>
              </w:rPr>
              <w:t>A voxelwise Bayesian method with uniform prior distributions and mode as central tendency measure was used to estimate the model parameters</w:t>
            </w:r>
            <w:r w:rsidR="00EB45E1">
              <w:rPr>
                <w:rFonts w:ascii="Times New Roman" w:eastAsia="Calibri" w:hAnsi="Times New Roman" w:cs="Times New Roman"/>
                <w:sz w:val="22"/>
                <w:szCs w:val="22"/>
              </w:rPr>
              <w:t xml:space="preserve"> </w:t>
            </w:r>
            <w:r w:rsidR="00EB45E1">
              <w:rPr>
                <w:rFonts w:ascii="Times New Roman" w:eastAsia="Calibri" w:hAnsi="Times New Roman" w:cs="Times New Roman"/>
              </w:rPr>
              <w:fldChar w:fldCharType="begin" w:fldLock="1"/>
            </w:r>
            <w:r w:rsidR="00C15E86">
              <w:rPr>
                <w:rFonts w:ascii="Times New Roman" w:eastAsia="Calibri" w:hAnsi="Times New Roman" w:cs="Times New Roman"/>
                <w:sz w:val="22"/>
                <w:szCs w:val="22"/>
              </w:rPr>
              <w:instrText>ADDIN CSL_CITATION {"citationItems":[{"id":"ITEM-1","itemData":{"DOI":"10.1002/mrm.26783","ISSN":"15222594","abstract":"© 2017 International Society for Magnetic Resonance in Medicine. Purpose: Bayesian model fitting has been proposed as a robust alternative for intravoxel incoherent motion (IVIM) model-fitting parameter estimation. However, consensus regarding choice of prior distribution and posterior distribution central tendency measure is needed. The aim of this study was to compare the quality of IVIM parameter estimates produced by different prior distributions and central tendency measures, and to gain knowledge about the effect of these choices. Methods: Three prior distributions (uniform, reciprocal, and lognormal) and two measures of central tendency (mean and mode) found in the literature were studied using simulations and in vivo data from a tumor mouse model. Results: Simulations showed that the uniform and lognormal priors were superior to the reciprocal prior, especially for the parameters D and f and clinically relevant SNR levels. The choice of central tendency measure had less effect on the results, but had some effects on estimation bias. Results based on simulations and in vivo data agreed well, indicating high validity of the simulations. Conclusions: Choice of prior distribution and central tendency measure affects the results of Bayesian IVIM parameter estimates. This must be considered when comparing results from different studies. The best overall quality of IVIM parameter estimates was obtained using the lognormal prior.","author":[{"dropping-particle":"","family":"Gustafsson","given":"O.","non-dropping-particle":"","parse-names":false,"suffix":""},{"dropping-particle":"","family":"Montelius","given":"M.","non-dropping-particle":"","parse-names":false,"suffix":""},{"dropping-particle":"","family":"Starck","given":"G.","non-dropping-particle":"","parse-names":false,"suffix":""},{"dropping-particle":"","family":"Ljungberg","given":"M.","non-dropping-particle":"","parse-names":false,"suffix":""}],"container-title":"Magnetic Resonance in Medicine","id":"ITEM-1","issued":{"date-parts":[["2017"]]},"title":"Impact of prior distributions and central tendency measures on Bayesian intravoxel incoherent motion model fitting","type":"article-journal"},"uris":["http://www.mendeley.com/documents/?uuid=ba5297b2-e58e-366d-9463-e5edfafe3a8b"]}],"mendeley":{"formattedCitation":"&lt;sup&gt;17&lt;/sup&gt;","plainTextFormattedCitation":"17","previouslyFormattedCitation":"&lt;sup&gt;17&lt;/sup&gt;"},"properties":{"noteIndex":0},"schema":"https://github.com/citation-style-language/schema/raw/master/csl-citation.json"}</w:instrText>
            </w:r>
            <w:r w:rsidR="00EB45E1">
              <w:rPr>
                <w:rFonts w:ascii="Times New Roman" w:eastAsia="Calibri" w:hAnsi="Times New Roman" w:cs="Times New Roman"/>
              </w:rPr>
              <w:fldChar w:fldCharType="separate"/>
            </w:r>
            <w:r w:rsidR="00F617EF" w:rsidRPr="00F617EF">
              <w:rPr>
                <w:rFonts w:ascii="Times New Roman" w:eastAsia="Calibri" w:hAnsi="Times New Roman" w:cs="Times New Roman"/>
                <w:noProof/>
                <w:sz w:val="22"/>
                <w:szCs w:val="22"/>
                <w:vertAlign w:val="superscript"/>
              </w:rPr>
              <w:t>17</w:t>
            </w:r>
            <w:r w:rsidR="00EB45E1">
              <w:rPr>
                <w:rFonts w:ascii="Times New Roman" w:eastAsia="Calibri" w:hAnsi="Times New Roman" w:cs="Times New Roman"/>
              </w:rPr>
              <w:fldChar w:fldCharType="end"/>
            </w:r>
            <w:r w:rsidRPr="00AE0186">
              <w:rPr>
                <w:rFonts w:ascii="Times New Roman" w:eastAsia="Calibri" w:hAnsi="Times New Roman" w:cs="Times New Roman"/>
                <w:sz w:val="22"/>
                <w:szCs w:val="22"/>
              </w:rPr>
              <w:t xml:space="preserve"> </w:t>
            </w:r>
          </w:p>
          <w:p w14:paraId="41E4327F" w14:textId="658344C2"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Calibri" w:hAnsi="Times New Roman" w:cs="Times New Roman"/>
                <w:sz w:val="22"/>
                <w:szCs w:val="22"/>
              </w:rPr>
              <w:t xml:space="preserve">Parameter limits were </w:t>
            </w:r>
            <w:r w:rsidRPr="00AE0186">
              <w:rPr>
                <w:rFonts w:ascii="Times New Roman" w:eastAsia="Calibri" w:hAnsi="Times New Roman" w:cs="Times New Roman"/>
                <w:i/>
                <w:sz w:val="22"/>
                <w:szCs w:val="22"/>
              </w:rPr>
              <w:t>D</w:t>
            </w:r>
            <w:r w:rsidRPr="00AE0186">
              <w:rPr>
                <w:rFonts w:ascii="Times New Roman" w:eastAsia="Calibri" w:hAnsi="Times New Roman" w:cs="Times New Roman"/>
                <w:sz w:val="22"/>
                <w:szCs w:val="22"/>
              </w:rPr>
              <w:t>: [0,5] μm</w:t>
            </w:r>
            <w:r w:rsidRPr="00AE0186">
              <w:rPr>
                <w:rFonts w:ascii="Times New Roman" w:eastAsia="Calibri" w:hAnsi="Times New Roman" w:cs="Times New Roman"/>
                <w:sz w:val="22"/>
                <w:szCs w:val="22"/>
                <w:vertAlign w:val="superscript"/>
              </w:rPr>
              <w:t>2</w:t>
            </w:r>
            <w:r w:rsidRPr="00AE0186">
              <w:rPr>
                <w:rFonts w:ascii="Times New Roman" w:eastAsia="Calibri" w:hAnsi="Times New Roman" w:cs="Times New Roman"/>
                <w:sz w:val="22"/>
                <w:szCs w:val="22"/>
              </w:rPr>
              <w:t xml:space="preserve">/ms, </w:t>
            </w:r>
            <w:r w:rsidRPr="00AE0186">
              <w:rPr>
                <w:rFonts w:ascii="Times New Roman" w:eastAsia="Calibri" w:hAnsi="Times New Roman" w:cs="Times New Roman"/>
                <w:i/>
                <w:sz w:val="22"/>
                <w:szCs w:val="22"/>
              </w:rPr>
              <w:t>f</w:t>
            </w:r>
            <w:r w:rsidRPr="00AE0186">
              <w:rPr>
                <w:rFonts w:ascii="Times New Roman" w:eastAsia="Calibri" w:hAnsi="Times New Roman" w:cs="Times New Roman"/>
                <w:sz w:val="22"/>
                <w:szCs w:val="22"/>
              </w:rPr>
              <w:t xml:space="preserve">: [0,1], </w:t>
            </w:r>
            <w:r w:rsidRPr="00AE0186">
              <w:rPr>
                <w:rFonts w:ascii="Times New Roman" w:eastAsia="Calibri" w:hAnsi="Times New Roman" w:cs="Times New Roman"/>
                <w:i/>
                <w:sz w:val="22"/>
                <w:szCs w:val="22"/>
              </w:rPr>
              <w:t>D*</w:t>
            </w:r>
            <w:r w:rsidRPr="00AE0186">
              <w:rPr>
                <w:rFonts w:ascii="Times New Roman" w:eastAsia="Calibri" w:hAnsi="Times New Roman" w:cs="Times New Roman"/>
                <w:sz w:val="22"/>
                <w:szCs w:val="22"/>
              </w:rPr>
              <w:t>: [0,1000] μm</w:t>
            </w:r>
            <w:r w:rsidRPr="00AE0186">
              <w:rPr>
                <w:rFonts w:ascii="Times New Roman" w:eastAsia="Calibri" w:hAnsi="Times New Roman" w:cs="Times New Roman"/>
                <w:sz w:val="22"/>
                <w:szCs w:val="22"/>
                <w:vertAlign w:val="superscript"/>
              </w:rPr>
              <w:t>2</w:t>
            </w:r>
            <w:r w:rsidRPr="00AE0186">
              <w:rPr>
                <w:rFonts w:ascii="Times New Roman" w:eastAsia="Calibri" w:hAnsi="Times New Roman" w:cs="Times New Roman"/>
                <w:sz w:val="22"/>
                <w:szCs w:val="22"/>
              </w:rPr>
              <w:t>/ms</w:t>
            </w:r>
            <w:r w:rsidRPr="00AE0186">
              <w:rPr>
                <w:rFonts w:ascii="Times New Roman" w:hAnsi="Times New Roman" w:cs="Times New Roman"/>
                <w:sz w:val="22"/>
                <w:szCs w:val="22"/>
              </w:rPr>
              <w:t xml:space="preserve">, </w:t>
            </w: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0</w:t>
            </w:r>
            <w:r w:rsidRPr="00AE0186">
              <w:rPr>
                <w:rFonts w:ascii="Times New Roman" w:hAnsi="Times New Roman" w:cs="Times New Roman"/>
                <w:sz w:val="22"/>
                <w:szCs w:val="22"/>
              </w:rPr>
              <w:t>: [0, 2</w:t>
            </w:r>
            <w:r w:rsidR="00FC50CB">
              <w:rPr>
                <w:rFonts w:ascii="Times New Roman" w:hAnsi="Times New Roman" w:cs="Times New Roman"/>
                <w:sz w:val="22"/>
                <w:szCs w:val="22"/>
              </w:rPr>
              <w:t>×</w:t>
            </w: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max</w:t>
            </w:r>
            <w:r w:rsidRPr="00AE0186">
              <w:rPr>
                <w:rFonts w:ascii="Times New Roman" w:hAnsi="Times New Roman" w:cs="Times New Roman"/>
                <w:sz w:val="22"/>
                <w:szCs w:val="22"/>
              </w:rPr>
              <w:t xml:space="preserve">], where </w:t>
            </w: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max</w:t>
            </w:r>
            <w:r w:rsidRPr="00AE0186">
              <w:rPr>
                <w:rFonts w:ascii="Times New Roman" w:hAnsi="Times New Roman" w:cs="Times New Roman"/>
                <w:sz w:val="22"/>
                <w:szCs w:val="22"/>
              </w:rPr>
              <w:t xml:space="preserve"> is the maximum measured signal</w:t>
            </w:r>
          </w:p>
        </w:tc>
      </w:tr>
      <w:tr w:rsidR="00AE0186" w:rsidRPr="00AE0186" w14:paraId="63528F22" w14:textId="77777777" w:rsidTr="00A42221">
        <w:tc>
          <w:tcPr>
            <w:tcW w:w="946" w:type="dxa"/>
          </w:tcPr>
          <w:p w14:paraId="33A14EBC"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D</w:t>
            </w:r>
          </w:p>
        </w:tc>
        <w:tc>
          <w:tcPr>
            <w:tcW w:w="1981" w:type="dxa"/>
          </w:tcPr>
          <w:p w14:paraId="4E565C49"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Diffusion coefficient</w:t>
            </w:r>
          </w:p>
        </w:tc>
        <w:tc>
          <w:tcPr>
            <w:tcW w:w="6355" w:type="dxa"/>
          </w:tcPr>
          <w:p w14:paraId="621F3C20"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The tissue water diffusion coefficient</w:t>
            </w:r>
          </w:p>
        </w:tc>
      </w:tr>
      <w:tr w:rsidR="00AE0186" w:rsidRPr="00AE0186" w14:paraId="3579D7D8" w14:textId="77777777" w:rsidTr="00A42221">
        <w:tc>
          <w:tcPr>
            <w:tcW w:w="946" w:type="dxa"/>
          </w:tcPr>
          <w:p w14:paraId="714A00B0"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D*</w:t>
            </w:r>
          </w:p>
        </w:tc>
        <w:tc>
          <w:tcPr>
            <w:tcW w:w="1981" w:type="dxa"/>
          </w:tcPr>
          <w:p w14:paraId="3F094B03"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Pseudo diffusion coefficient</w:t>
            </w:r>
          </w:p>
        </w:tc>
        <w:tc>
          <w:tcPr>
            <w:tcW w:w="6355" w:type="dxa"/>
          </w:tcPr>
          <w:p w14:paraId="628F7B4B"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Perfusion related pseudo diffusion coefficient of incoherently flowing blood in the tissue</w:t>
            </w:r>
          </w:p>
        </w:tc>
      </w:tr>
      <w:tr w:rsidR="00AE0186" w:rsidRPr="00AE0186" w14:paraId="4819431C" w14:textId="77777777" w:rsidTr="00A42221">
        <w:tc>
          <w:tcPr>
            <w:tcW w:w="946" w:type="dxa"/>
          </w:tcPr>
          <w:p w14:paraId="1E5A4D04"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f</w:t>
            </w:r>
          </w:p>
        </w:tc>
        <w:tc>
          <w:tcPr>
            <w:tcW w:w="1981" w:type="dxa"/>
          </w:tcPr>
          <w:p w14:paraId="09495A3D"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Perfusion fraction</w:t>
            </w:r>
          </w:p>
        </w:tc>
        <w:tc>
          <w:tcPr>
            <w:tcW w:w="6355" w:type="dxa"/>
          </w:tcPr>
          <w:p w14:paraId="5E178A15"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Signal fraction of from incoherently flowing blood in the tissue</w:t>
            </w:r>
          </w:p>
        </w:tc>
      </w:tr>
      <w:tr w:rsidR="00AE0186" w:rsidRPr="00AE0186" w14:paraId="0435D252" w14:textId="77777777" w:rsidTr="00A42221">
        <w:tc>
          <w:tcPr>
            <w:tcW w:w="2927" w:type="dxa"/>
            <w:gridSpan w:val="2"/>
          </w:tcPr>
          <w:p w14:paraId="0C307034" w14:textId="77777777" w:rsidR="00AE0186" w:rsidRPr="00AE0186" w:rsidRDefault="00AE0186" w:rsidP="00A42221">
            <w:pPr>
              <w:spacing w:after="80" w:line="240" w:lineRule="auto"/>
              <w:rPr>
                <w:rFonts w:ascii="Times New Roman" w:hAnsi="Times New Roman" w:cs="Times New Roman"/>
                <w:sz w:val="22"/>
                <w:szCs w:val="22"/>
              </w:rPr>
            </w:pPr>
          </w:p>
        </w:tc>
        <w:tc>
          <w:tcPr>
            <w:tcW w:w="6355" w:type="dxa"/>
          </w:tcPr>
          <w:p w14:paraId="394D2500"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u w:val="single"/>
              </w:rPr>
              <w:t>Apparent diffusion</w:t>
            </w:r>
          </w:p>
          <w:p w14:paraId="5F914DFC" w14:textId="77777777" w:rsidR="00AE0186" w:rsidRPr="00AE0186" w:rsidRDefault="00AE0186" w:rsidP="00A42221">
            <w:pPr>
              <w:spacing w:after="80" w:line="240" w:lineRule="auto"/>
              <w:rPr>
                <w:rFonts w:ascii="Times New Roman" w:hAnsi="Times New Roman" w:cs="Times New Roman"/>
                <w:sz w:val="22"/>
                <w:szCs w:val="22"/>
              </w:rPr>
            </w:pPr>
            <m:oMath>
              <m:r>
                <w:rPr>
                  <w:rFonts w:ascii="Cambria Math" w:hAnsi="Cambria Math" w:cs="Times New Roman"/>
                  <w:sz w:val="22"/>
                  <w:szCs w:val="22"/>
                </w:rPr>
                <m:t>S</m:t>
              </m:r>
              <m:d>
                <m:dPr>
                  <m:ctrlPr>
                    <w:rPr>
                      <w:rFonts w:ascii="Cambria Math" w:hAnsi="Cambria Math" w:cs="Times New Roman"/>
                      <w:i/>
                      <w:sz w:val="22"/>
                      <w:szCs w:val="22"/>
                    </w:rPr>
                  </m:ctrlPr>
                </m:dPr>
                <m:e>
                  <m:r>
                    <w:rPr>
                      <w:rFonts w:ascii="Cambria Math" w:hAnsi="Cambria Math" w:cs="Times New Roman"/>
                      <w:sz w:val="22"/>
                      <w:szCs w:val="22"/>
                    </w:rPr>
                    <m:t>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0</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-b∙ADC</m:t>
                  </m:r>
                </m:sup>
              </m:sSup>
            </m:oMath>
            <w:r w:rsidRPr="00AE0186">
              <w:rPr>
                <w:rFonts w:ascii="Times New Roman" w:hAnsi="Times New Roman" w:cs="Times New Roman"/>
                <w:sz w:val="22"/>
                <w:szCs w:val="22"/>
              </w:rPr>
              <w:t xml:space="preserve"> </w:t>
            </w:r>
          </w:p>
          <w:p w14:paraId="6469A658"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0</w:t>
            </w:r>
            <w:r w:rsidRPr="00AE0186">
              <w:rPr>
                <w:rFonts w:ascii="Times New Roman" w:hAnsi="Times New Roman" w:cs="Times New Roman"/>
                <w:sz w:val="22"/>
                <w:szCs w:val="22"/>
              </w:rPr>
              <w:t>: signal without diffusion weighting</w:t>
            </w:r>
          </w:p>
          <w:p w14:paraId="441F6A17"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Calibri" w:hAnsi="Times New Roman" w:cs="Times New Roman"/>
                <w:i/>
                <w:sz w:val="22"/>
                <w:szCs w:val="22"/>
              </w:rPr>
              <w:t>ADC</w:t>
            </w:r>
            <w:r w:rsidRPr="00AE0186">
              <w:rPr>
                <w:rFonts w:ascii="Times New Roman" w:eastAsia="Calibri" w:hAnsi="Times New Roman" w:cs="Times New Roman"/>
                <w:sz w:val="22"/>
                <w:szCs w:val="22"/>
              </w:rPr>
              <w:t xml:space="preserve"> was estimated from a least squares fit with two b-values </w:t>
            </w:r>
            <w:r w:rsidRPr="00AE0186">
              <w:rPr>
                <w:rFonts w:ascii="Times New Roman" w:eastAsia="Times New Roman" w:hAnsi="Times New Roman" w:cs="Times New Roman"/>
                <w:sz w:val="22"/>
                <w:szCs w:val="22"/>
              </w:rPr>
              <w:t>(0 and 800 s/mm</w:t>
            </w:r>
            <w:r w:rsidRPr="00AE0186">
              <w:rPr>
                <w:rFonts w:ascii="Times New Roman" w:eastAsia="Times New Roman" w:hAnsi="Times New Roman" w:cs="Times New Roman"/>
                <w:sz w:val="22"/>
                <w:szCs w:val="22"/>
                <w:vertAlign w:val="superscript"/>
              </w:rPr>
              <w:t>2.</w:t>
            </w:r>
            <w:r w:rsidRPr="00AE0186">
              <w:rPr>
                <w:rFonts w:ascii="Times New Roman" w:eastAsia="Times New Roman" w:hAnsi="Times New Roman" w:cs="Times New Roman"/>
                <w:sz w:val="22"/>
                <w:szCs w:val="22"/>
              </w:rPr>
              <w:t>)</w:t>
            </w:r>
          </w:p>
        </w:tc>
      </w:tr>
      <w:tr w:rsidR="00AE0186" w:rsidRPr="00AE0186" w14:paraId="320608D0" w14:textId="77777777" w:rsidTr="00A42221">
        <w:tc>
          <w:tcPr>
            <w:tcW w:w="946" w:type="dxa"/>
          </w:tcPr>
          <w:p w14:paraId="1FD23EBA"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ADC</w:t>
            </w:r>
          </w:p>
        </w:tc>
        <w:tc>
          <w:tcPr>
            <w:tcW w:w="1981" w:type="dxa"/>
          </w:tcPr>
          <w:p w14:paraId="5FBD1C1E"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 xml:space="preserve">Apparent Diffusion Coefficient </w:t>
            </w:r>
          </w:p>
        </w:tc>
        <w:tc>
          <w:tcPr>
            <w:tcW w:w="6355" w:type="dxa"/>
          </w:tcPr>
          <w:p w14:paraId="74EC8DBA"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The apparent diffusion coefficient, which includes effects from both diffusion and perfusion</w:t>
            </w:r>
          </w:p>
        </w:tc>
      </w:tr>
      <w:tr w:rsidR="00AE0186" w:rsidRPr="00AE0186" w14:paraId="3611D35E" w14:textId="77777777" w:rsidTr="00A42221">
        <w:trPr>
          <w:trHeight w:val="226"/>
        </w:trPr>
        <w:tc>
          <w:tcPr>
            <w:tcW w:w="9282" w:type="dxa"/>
            <w:gridSpan w:val="3"/>
            <w:tcBorders>
              <w:bottom w:val="single" w:sz="4" w:space="0" w:color="auto"/>
            </w:tcBorders>
          </w:tcPr>
          <w:p w14:paraId="2C8CF14D" w14:textId="77777777" w:rsidR="00AE0186" w:rsidRPr="00AE0186" w:rsidRDefault="00AE0186" w:rsidP="00A42221">
            <w:pPr>
              <w:spacing w:after="80" w:line="240" w:lineRule="auto"/>
              <w:jc w:val="center"/>
              <w:rPr>
                <w:rFonts w:ascii="Times New Roman" w:hAnsi="Times New Roman" w:cs="Times New Roman"/>
                <w:b/>
                <w:sz w:val="22"/>
                <w:szCs w:val="22"/>
              </w:rPr>
            </w:pPr>
            <w:r w:rsidRPr="00AE0186">
              <w:rPr>
                <w:rFonts w:ascii="Times New Roman" w:hAnsi="Times New Roman" w:cs="Times New Roman"/>
                <w:b/>
                <w:sz w:val="22"/>
                <w:szCs w:val="22"/>
              </w:rPr>
              <w:t>Relaxation time mapping</w:t>
            </w:r>
          </w:p>
        </w:tc>
      </w:tr>
      <w:tr w:rsidR="00AE0186" w:rsidRPr="00AE0186" w14:paraId="79CBA127" w14:textId="77777777" w:rsidTr="00A42221">
        <w:trPr>
          <w:trHeight w:val="118"/>
        </w:trPr>
        <w:tc>
          <w:tcPr>
            <w:tcW w:w="9282" w:type="dxa"/>
            <w:gridSpan w:val="3"/>
            <w:tcBorders>
              <w:top w:val="single" w:sz="4" w:space="0" w:color="auto"/>
            </w:tcBorders>
          </w:tcPr>
          <w:p w14:paraId="64E6800F" w14:textId="77777777" w:rsidR="00AE0186" w:rsidRPr="00AE0186" w:rsidRDefault="00AE0186" w:rsidP="00A42221">
            <w:pPr>
              <w:spacing w:after="80" w:line="240" w:lineRule="auto"/>
              <w:jc w:val="center"/>
              <w:rPr>
                <w:rFonts w:ascii="Times New Roman" w:hAnsi="Times New Roman" w:cs="Times New Roman"/>
                <w:b/>
              </w:rPr>
            </w:pPr>
          </w:p>
        </w:tc>
      </w:tr>
      <w:tr w:rsidR="00AE0186" w:rsidRPr="00AE0186" w14:paraId="0DA1ED19" w14:textId="77777777" w:rsidTr="00A42221">
        <w:tc>
          <w:tcPr>
            <w:tcW w:w="2927" w:type="dxa"/>
            <w:gridSpan w:val="2"/>
          </w:tcPr>
          <w:p w14:paraId="13F24FFA" w14:textId="77777777" w:rsidR="00AE0186" w:rsidRPr="00AE0186" w:rsidRDefault="00AE0186" w:rsidP="00A42221">
            <w:pPr>
              <w:spacing w:after="80" w:line="240" w:lineRule="auto"/>
              <w:rPr>
                <w:rFonts w:ascii="Times New Roman" w:hAnsi="Times New Roman" w:cs="Times New Roman"/>
                <w:sz w:val="22"/>
                <w:szCs w:val="22"/>
              </w:rPr>
            </w:pPr>
          </w:p>
        </w:tc>
        <w:tc>
          <w:tcPr>
            <w:tcW w:w="6355" w:type="dxa"/>
          </w:tcPr>
          <w:p w14:paraId="51F2F892" w14:textId="77777777" w:rsidR="00AE0186" w:rsidRPr="00AE0186" w:rsidRDefault="00AE0186" w:rsidP="00A42221">
            <w:pPr>
              <w:spacing w:after="80" w:line="240" w:lineRule="auto"/>
              <w:rPr>
                <w:rFonts w:ascii="Times New Roman" w:hAnsi="Times New Roman" w:cs="Times New Roman"/>
                <w:sz w:val="22"/>
                <w:szCs w:val="22"/>
                <w:u w:val="single"/>
              </w:rPr>
            </w:pPr>
            <w:r w:rsidRPr="00AE0186">
              <w:rPr>
                <w:rFonts w:ascii="Times New Roman" w:hAnsi="Times New Roman" w:cs="Times New Roman"/>
                <w:sz w:val="22"/>
                <w:szCs w:val="22"/>
                <w:u w:val="single"/>
              </w:rPr>
              <w:t>T2* relaxation</w:t>
            </w:r>
          </w:p>
          <w:p w14:paraId="7136CF34" w14:textId="77777777" w:rsidR="00AE0186" w:rsidRPr="00AE0186" w:rsidRDefault="00AE0186" w:rsidP="00A42221">
            <w:pPr>
              <w:spacing w:after="80" w:line="240" w:lineRule="auto"/>
              <w:jc w:val="both"/>
              <w:rPr>
                <w:rFonts w:ascii="Times New Roman" w:eastAsia="Times New Roman" w:hAnsi="Times New Roman" w:cs="Times New Roman"/>
                <w:sz w:val="22"/>
                <w:szCs w:val="22"/>
              </w:rPr>
            </w:pPr>
            <m:oMathPara>
              <m:oMathParaPr>
                <m:jc m:val="left"/>
              </m:oMathParaPr>
              <m:oMath>
                <m:r>
                  <w:rPr>
                    <w:rFonts w:ascii="Cambria Math" w:eastAsia="Calibri" w:hAnsi="Cambria Math" w:cs="Times New Roman"/>
                    <w:sz w:val="22"/>
                    <w:szCs w:val="22"/>
                  </w:rPr>
                  <m:t>S</m:t>
                </m:r>
                <m:d>
                  <m:dPr>
                    <m:ctrlPr>
                      <w:rPr>
                        <w:rFonts w:ascii="Cambria Math" w:eastAsia="Calibri" w:hAnsi="Cambria Math" w:cs="Times New Roman"/>
                        <w:i/>
                        <w:sz w:val="22"/>
                        <w:szCs w:val="22"/>
                      </w:rPr>
                    </m:ctrlPr>
                  </m:dPr>
                  <m:e>
                    <m:r>
                      <w:rPr>
                        <w:rFonts w:ascii="Cambria Math" w:eastAsia="Calibri" w:hAnsi="Cambria Math" w:cs="Times New Roman"/>
                        <w:sz w:val="22"/>
                        <w:szCs w:val="22"/>
                      </w:rPr>
                      <m:t>TE</m:t>
                    </m:r>
                  </m:e>
                </m:d>
                <m:r>
                  <w:rPr>
                    <w:rFonts w:ascii="Cambria Math" w:eastAsia="Calibri" w:hAnsi="Cambria Math" w:cs="Times New Roman"/>
                    <w:sz w:val="22"/>
                    <w:szCs w:val="22"/>
                  </w:rPr>
                  <m:t>=A+C</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e</m:t>
                    </m:r>
                  </m:e>
                  <m:sup>
                    <m:r>
                      <w:rPr>
                        <w:rFonts w:ascii="Cambria Math" w:eastAsia="Calibri" w:hAnsi="Cambria Math" w:cs="Times New Roman"/>
                        <w:sz w:val="22"/>
                        <w:szCs w:val="22"/>
                      </w:rPr>
                      <m:t>-</m:t>
                    </m:r>
                    <m:f>
                      <m:fPr>
                        <m:ctrlPr>
                          <w:rPr>
                            <w:rFonts w:ascii="Cambria Math" w:eastAsia="Calibri" w:hAnsi="Cambria Math" w:cs="Times New Roman"/>
                            <w:i/>
                            <w:sz w:val="22"/>
                            <w:szCs w:val="22"/>
                          </w:rPr>
                        </m:ctrlPr>
                      </m:fPr>
                      <m:num>
                        <m:r>
                          <w:rPr>
                            <w:rFonts w:ascii="Cambria Math" w:eastAsia="Calibri" w:hAnsi="Cambria Math" w:cs="Times New Roman"/>
                            <w:sz w:val="22"/>
                            <w:szCs w:val="22"/>
                          </w:rPr>
                          <m:t>TE</m:t>
                        </m:r>
                      </m:num>
                      <m:den>
                        <m:r>
                          <w:rPr>
                            <w:rFonts w:ascii="Cambria Math" w:eastAsia="Calibri" w:hAnsi="Cambria Math" w:cs="Times New Roman"/>
                            <w:sz w:val="22"/>
                            <w:szCs w:val="22"/>
                          </w:rPr>
                          <m:t>T</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2</m:t>
                            </m:r>
                          </m:e>
                          <m:sup>
                            <m:r>
                              <w:rPr>
                                <w:rFonts w:ascii="Cambria Math" w:eastAsia="Calibri" w:hAnsi="Cambria Math" w:cs="Times New Roman"/>
                                <w:sz w:val="22"/>
                                <w:szCs w:val="22"/>
                              </w:rPr>
                              <m:t>*</m:t>
                            </m:r>
                          </m:sup>
                        </m:sSup>
                      </m:den>
                    </m:f>
                  </m:sup>
                </m:sSup>
              </m:oMath>
            </m:oMathPara>
          </w:p>
          <w:p w14:paraId="5EB7F9BF" w14:textId="77777777" w:rsidR="00AE0186" w:rsidRPr="00AE0186" w:rsidRDefault="00AE0186" w:rsidP="00A42221">
            <w:pPr>
              <w:spacing w:after="80" w:line="240" w:lineRule="auto"/>
              <w:rPr>
                <w:rFonts w:ascii="Times New Roman" w:eastAsia="Calibri" w:hAnsi="Times New Roman" w:cs="Times New Roman"/>
                <w:sz w:val="22"/>
                <w:szCs w:val="22"/>
              </w:rPr>
            </w:pPr>
            <w:r w:rsidRPr="00AE0186">
              <w:rPr>
                <w:rFonts w:ascii="Times New Roman" w:eastAsia="Calibri" w:hAnsi="Times New Roman" w:cs="Times New Roman"/>
                <w:i/>
                <w:sz w:val="22"/>
                <w:szCs w:val="22"/>
              </w:rPr>
              <w:t>S(TE)</w:t>
            </w:r>
            <w:r w:rsidRPr="00AE0186">
              <w:rPr>
                <w:rFonts w:ascii="Times New Roman" w:eastAsia="Calibri" w:hAnsi="Times New Roman" w:cs="Times New Roman"/>
                <w:sz w:val="22"/>
                <w:szCs w:val="22"/>
              </w:rPr>
              <w:t xml:space="preserve"> is the signal intensity for echo time TE </w:t>
            </w:r>
          </w:p>
          <w:p w14:paraId="52F4F7F7" w14:textId="77777777" w:rsidR="00AE0186" w:rsidRPr="00AE0186" w:rsidRDefault="00AE0186" w:rsidP="00A42221">
            <w:pPr>
              <w:spacing w:after="80" w:line="240" w:lineRule="auto"/>
              <w:rPr>
                <w:rFonts w:ascii="Times New Roman" w:eastAsia="Calibri" w:hAnsi="Times New Roman" w:cs="Times New Roman"/>
                <w:sz w:val="22"/>
                <w:szCs w:val="22"/>
              </w:rPr>
            </w:pPr>
            <w:r w:rsidRPr="00AE0186">
              <w:rPr>
                <w:rFonts w:ascii="Times New Roman" w:eastAsia="Calibri" w:hAnsi="Times New Roman" w:cs="Times New Roman"/>
                <w:i/>
                <w:sz w:val="22"/>
                <w:szCs w:val="22"/>
              </w:rPr>
              <w:t>A</w:t>
            </w:r>
            <w:r w:rsidRPr="00AE0186">
              <w:rPr>
                <w:rFonts w:ascii="Times New Roman" w:eastAsia="Calibri" w:hAnsi="Times New Roman" w:cs="Times New Roman"/>
                <w:sz w:val="22"/>
                <w:szCs w:val="22"/>
              </w:rPr>
              <w:t xml:space="preserve"> = signal bias </w:t>
            </w:r>
          </w:p>
          <w:p w14:paraId="1AD9A7EF" w14:textId="77777777" w:rsidR="00AE0186" w:rsidRPr="00AE0186" w:rsidRDefault="00AE0186" w:rsidP="00A42221">
            <w:pPr>
              <w:spacing w:after="80" w:line="240" w:lineRule="auto"/>
              <w:rPr>
                <w:rFonts w:ascii="Times New Roman" w:eastAsia="Calibri" w:hAnsi="Times New Roman" w:cs="Times New Roman"/>
                <w:sz w:val="22"/>
                <w:szCs w:val="22"/>
              </w:rPr>
            </w:pPr>
            <w:r w:rsidRPr="00AE0186">
              <w:rPr>
                <w:rFonts w:ascii="Times New Roman" w:eastAsia="Calibri" w:hAnsi="Times New Roman" w:cs="Times New Roman"/>
                <w:i/>
                <w:sz w:val="22"/>
                <w:szCs w:val="22"/>
              </w:rPr>
              <w:t>C</w:t>
            </w:r>
            <w:r w:rsidRPr="00AE0186">
              <w:rPr>
                <w:rFonts w:ascii="Times New Roman" w:eastAsia="Calibri" w:hAnsi="Times New Roman" w:cs="Times New Roman"/>
                <w:sz w:val="22"/>
                <w:szCs w:val="22"/>
              </w:rPr>
              <w:t xml:space="preserve"> = signal intensity without T2* relaxation and no bias</w:t>
            </w:r>
          </w:p>
          <w:p w14:paraId="2B0C3033"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Calibri" w:hAnsi="Times New Roman" w:cs="Times New Roman"/>
                <w:sz w:val="22"/>
                <w:szCs w:val="22"/>
                <w:lang w:eastAsia="en-GB"/>
              </w:rPr>
              <w:t xml:space="preserve">Least squares fitting was used to estimate </w:t>
            </w:r>
            <w:r w:rsidRPr="00AE0186">
              <w:rPr>
                <w:rFonts w:ascii="Times New Roman" w:eastAsia="Calibri" w:hAnsi="Times New Roman" w:cs="Times New Roman"/>
                <w:i/>
                <w:sz w:val="22"/>
                <w:szCs w:val="22"/>
                <w:lang w:eastAsia="en-GB"/>
              </w:rPr>
              <w:t>T2*</w:t>
            </w:r>
            <w:r w:rsidRPr="00AE0186">
              <w:rPr>
                <w:rFonts w:ascii="Times New Roman" w:eastAsia="Calibri" w:hAnsi="Times New Roman" w:cs="Times New Roman"/>
                <w:sz w:val="22"/>
                <w:szCs w:val="22"/>
                <w:lang w:eastAsia="en-GB"/>
              </w:rPr>
              <w:t>. Voxels with t</w:t>
            </w:r>
            <w:r w:rsidRPr="00AE0186">
              <w:rPr>
                <w:rFonts w:ascii="Times New Roman" w:eastAsia="Calibri" w:hAnsi="Times New Roman" w:cs="Times New Roman"/>
                <w:sz w:val="22"/>
                <w:szCs w:val="22"/>
              </w:rPr>
              <w:t>he goodness-of-fit parameter R</w:t>
            </w:r>
            <w:r w:rsidRPr="00AE0186">
              <w:rPr>
                <w:rFonts w:ascii="Times New Roman" w:eastAsia="Calibri" w:hAnsi="Times New Roman" w:cs="Times New Roman"/>
                <w:sz w:val="22"/>
                <w:szCs w:val="22"/>
                <w:vertAlign w:val="superscript"/>
              </w:rPr>
              <w:t>2</w:t>
            </w:r>
            <w:r w:rsidRPr="00AE0186">
              <w:rPr>
                <w:rFonts w:ascii="Times New Roman" w:eastAsia="Calibri" w:hAnsi="Times New Roman" w:cs="Times New Roman"/>
                <w:sz w:val="22"/>
                <w:szCs w:val="22"/>
              </w:rPr>
              <w:t xml:space="preserve"> &lt; 0.4 were excluded</w:t>
            </w:r>
          </w:p>
        </w:tc>
      </w:tr>
      <w:tr w:rsidR="00AE0186" w:rsidRPr="00AE0186" w14:paraId="42816E3E" w14:textId="77777777" w:rsidTr="00A42221">
        <w:tc>
          <w:tcPr>
            <w:tcW w:w="946" w:type="dxa"/>
          </w:tcPr>
          <w:p w14:paraId="18118006"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T2*</w:t>
            </w:r>
          </w:p>
        </w:tc>
        <w:tc>
          <w:tcPr>
            <w:tcW w:w="1981" w:type="dxa"/>
          </w:tcPr>
          <w:p w14:paraId="72691289"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T2* time</w:t>
            </w:r>
          </w:p>
        </w:tc>
        <w:tc>
          <w:tcPr>
            <w:tcW w:w="6355" w:type="dxa"/>
          </w:tcPr>
          <w:p w14:paraId="43F8FFFD"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 xml:space="preserve">Transversal tissue relaxation time </w:t>
            </w:r>
          </w:p>
        </w:tc>
      </w:tr>
      <w:tr w:rsidR="00AE0186" w:rsidRPr="00AE0186" w14:paraId="358E69DD" w14:textId="77777777" w:rsidTr="00A42221">
        <w:tc>
          <w:tcPr>
            <w:tcW w:w="2927" w:type="dxa"/>
            <w:gridSpan w:val="2"/>
          </w:tcPr>
          <w:p w14:paraId="7A6F187C" w14:textId="77777777" w:rsidR="00AE0186" w:rsidRPr="00AE0186" w:rsidRDefault="00AE0186" w:rsidP="00A42221">
            <w:pPr>
              <w:spacing w:after="80" w:line="240" w:lineRule="auto"/>
              <w:rPr>
                <w:rFonts w:ascii="Times New Roman" w:hAnsi="Times New Roman" w:cs="Times New Roman"/>
                <w:sz w:val="22"/>
                <w:szCs w:val="22"/>
              </w:rPr>
            </w:pPr>
          </w:p>
        </w:tc>
        <w:tc>
          <w:tcPr>
            <w:tcW w:w="6355" w:type="dxa"/>
          </w:tcPr>
          <w:p w14:paraId="130B56B1" w14:textId="77777777" w:rsidR="00AE0186" w:rsidRPr="00AE0186" w:rsidRDefault="00AE0186" w:rsidP="00A42221">
            <w:pPr>
              <w:spacing w:after="80" w:line="240" w:lineRule="auto"/>
              <w:rPr>
                <w:rFonts w:ascii="Times New Roman" w:hAnsi="Times New Roman" w:cs="Times New Roman"/>
                <w:sz w:val="22"/>
                <w:szCs w:val="22"/>
                <w:u w:val="single"/>
              </w:rPr>
            </w:pPr>
            <w:r w:rsidRPr="00AE0186">
              <w:rPr>
                <w:rFonts w:ascii="Times New Roman" w:hAnsi="Times New Roman" w:cs="Times New Roman"/>
                <w:sz w:val="22"/>
                <w:szCs w:val="22"/>
                <w:u w:val="single"/>
              </w:rPr>
              <w:t>T1 relaxation</w:t>
            </w:r>
          </w:p>
          <w:p w14:paraId="350991B4" w14:textId="77777777" w:rsidR="00AE0186" w:rsidRPr="00AE0186" w:rsidRDefault="00AE0186" w:rsidP="00A42221">
            <w:pPr>
              <w:spacing w:after="80" w:line="240" w:lineRule="auto"/>
              <w:ind w:firstLineChars="6" w:firstLine="13"/>
              <w:rPr>
                <w:rFonts w:ascii="Times New Roman" w:eastAsia="Times New Roman" w:hAnsi="Times New Roman" w:cs="Times New Roman"/>
                <w:sz w:val="22"/>
                <w:szCs w:val="22"/>
              </w:rPr>
            </w:pPr>
            <m:oMath>
              <m:r>
                <w:rPr>
                  <w:rFonts w:ascii="Cambria Math" w:eastAsia="Calibri" w:hAnsi="Cambria Math" w:cs="Times New Roman"/>
                  <w:sz w:val="22"/>
                  <w:szCs w:val="22"/>
                </w:rPr>
                <m:t>S(TR)</m:t>
              </m:r>
              <m:r>
                <m:rPr>
                  <m:sty m:val="p"/>
                </m:rPr>
                <w:rPr>
                  <w:rFonts w:ascii="Cambria Math" w:eastAsia="Calibri" w:hAnsi="Cambria Math" w:cs="Times New Roman"/>
                  <w:sz w:val="22"/>
                  <w:szCs w:val="22"/>
                </w:rPr>
                <m:t>=</m:t>
              </m:r>
              <m:r>
                <w:rPr>
                  <w:rFonts w:ascii="Cambria Math" w:eastAsia="Calibri" w:hAnsi="Cambria Math" w:cs="Times New Roman"/>
                  <w:sz w:val="22"/>
                  <w:szCs w:val="22"/>
                </w:rPr>
                <m:t>A+C(1-</m:t>
              </m:r>
              <m:sSup>
                <m:sSupPr>
                  <m:ctrlPr>
                    <w:rPr>
                      <w:rFonts w:ascii="Cambria Math" w:eastAsia="Calibri" w:hAnsi="Cambria Math" w:cs="Times New Roman"/>
                      <w:i/>
                      <w:sz w:val="22"/>
                      <w:szCs w:val="22"/>
                    </w:rPr>
                  </m:ctrlPr>
                </m:sSupPr>
                <m:e>
                  <m:r>
                    <w:rPr>
                      <w:rFonts w:ascii="Cambria Math" w:eastAsia="Calibri" w:hAnsi="Cambria Math" w:cs="Times New Roman"/>
                      <w:sz w:val="22"/>
                      <w:szCs w:val="22"/>
                    </w:rPr>
                    <m:t>e</m:t>
                  </m:r>
                </m:e>
                <m:sup>
                  <m:r>
                    <w:rPr>
                      <w:rFonts w:ascii="Cambria Math" w:eastAsia="Calibri" w:hAnsi="Cambria Math" w:cs="Times New Roman"/>
                      <w:sz w:val="22"/>
                      <w:szCs w:val="22"/>
                    </w:rPr>
                    <m:t>-</m:t>
                  </m:r>
                  <m:f>
                    <m:fPr>
                      <m:ctrlPr>
                        <w:rPr>
                          <w:rFonts w:ascii="Cambria Math" w:eastAsia="Calibri" w:hAnsi="Cambria Math" w:cs="Times New Roman"/>
                          <w:i/>
                          <w:sz w:val="22"/>
                          <w:szCs w:val="22"/>
                        </w:rPr>
                      </m:ctrlPr>
                    </m:fPr>
                    <m:num>
                      <m:r>
                        <w:rPr>
                          <w:rFonts w:ascii="Cambria Math" w:eastAsia="Calibri" w:hAnsi="Cambria Math" w:cs="Times New Roman"/>
                          <w:sz w:val="22"/>
                          <w:szCs w:val="22"/>
                        </w:rPr>
                        <m:t>TR</m:t>
                      </m:r>
                    </m:num>
                    <m:den>
                      <m:r>
                        <w:rPr>
                          <w:rFonts w:ascii="Cambria Math" w:eastAsia="Calibri" w:hAnsi="Cambria Math" w:cs="Times New Roman"/>
                          <w:sz w:val="22"/>
                          <w:szCs w:val="22"/>
                        </w:rPr>
                        <m:t>T1</m:t>
                      </m:r>
                    </m:den>
                  </m:f>
                </m:sup>
              </m:sSup>
              <m:r>
                <w:rPr>
                  <w:rFonts w:ascii="Cambria Math" w:eastAsia="Calibri" w:hAnsi="Cambria Math" w:cs="Times New Roman"/>
                  <w:sz w:val="22"/>
                  <w:szCs w:val="22"/>
                </w:rPr>
                <m:t>)</m:t>
              </m:r>
            </m:oMath>
            <w:r w:rsidRPr="00AE0186">
              <w:rPr>
                <w:rFonts w:ascii="Times New Roman" w:eastAsia="Times New Roman" w:hAnsi="Times New Roman" w:cs="Times New Roman"/>
                <w:sz w:val="22"/>
                <w:szCs w:val="22"/>
              </w:rPr>
              <w:t xml:space="preserve"> </w:t>
            </w:r>
          </w:p>
          <w:p w14:paraId="4B277238" w14:textId="77777777" w:rsidR="00AE0186" w:rsidRPr="00AE0186" w:rsidRDefault="00AE0186" w:rsidP="00A42221">
            <w:pPr>
              <w:spacing w:after="80" w:line="240" w:lineRule="auto"/>
              <w:ind w:firstLineChars="6" w:firstLine="13"/>
              <w:rPr>
                <w:rFonts w:ascii="Times New Roman" w:eastAsia="Calibri" w:hAnsi="Times New Roman" w:cs="Times New Roman"/>
                <w:sz w:val="22"/>
                <w:szCs w:val="22"/>
              </w:rPr>
            </w:pPr>
            <w:r w:rsidRPr="00AE0186">
              <w:rPr>
                <w:rFonts w:ascii="Times New Roman" w:eastAsia="Calibri" w:hAnsi="Times New Roman" w:cs="Times New Roman"/>
                <w:i/>
                <w:sz w:val="22"/>
                <w:szCs w:val="22"/>
              </w:rPr>
              <w:t>S(TR)</w:t>
            </w:r>
            <w:r w:rsidRPr="00AE0186">
              <w:rPr>
                <w:rFonts w:ascii="Times New Roman" w:eastAsia="Calibri" w:hAnsi="Times New Roman" w:cs="Times New Roman"/>
                <w:sz w:val="22"/>
                <w:szCs w:val="22"/>
              </w:rPr>
              <w:t xml:space="preserve"> = signal intensity for repetition time TR </w:t>
            </w:r>
          </w:p>
          <w:p w14:paraId="4355A14A" w14:textId="77777777" w:rsidR="00AE0186" w:rsidRPr="00AE0186" w:rsidRDefault="00AE0186" w:rsidP="00A42221">
            <w:pPr>
              <w:spacing w:after="80" w:line="240" w:lineRule="auto"/>
              <w:ind w:firstLineChars="6" w:firstLine="13"/>
              <w:rPr>
                <w:rFonts w:ascii="Times New Roman" w:eastAsia="Calibri" w:hAnsi="Times New Roman" w:cs="Times New Roman"/>
                <w:sz w:val="22"/>
                <w:szCs w:val="22"/>
              </w:rPr>
            </w:pPr>
            <w:r w:rsidRPr="00AE0186">
              <w:rPr>
                <w:rFonts w:ascii="Times New Roman" w:eastAsia="Calibri" w:hAnsi="Times New Roman" w:cs="Times New Roman"/>
                <w:i/>
                <w:sz w:val="22"/>
                <w:szCs w:val="22"/>
              </w:rPr>
              <w:t>A</w:t>
            </w:r>
            <w:r w:rsidRPr="00AE0186">
              <w:rPr>
                <w:rFonts w:ascii="Times New Roman" w:eastAsia="Calibri" w:hAnsi="Times New Roman" w:cs="Times New Roman"/>
                <w:sz w:val="22"/>
                <w:szCs w:val="22"/>
              </w:rPr>
              <w:t xml:space="preserve"> = signal bias </w:t>
            </w:r>
          </w:p>
          <w:p w14:paraId="471970A5" w14:textId="77777777" w:rsidR="00AE0186" w:rsidRPr="00AE0186" w:rsidRDefault="00AE0186" w:rsidP="00A42221">
            <w:pPr>
              <w:spacing w:after="80" w:line="240" w:lineRule="auto"/>
              <w:ind w:firstLineChars="6" w:firstLine="13"/>
              <w:rPr>
                <w:rFonts w:ascii="Times New Roman" w:eastAsia="Calibri" w:hAnsi="Times New Roman" w:cs="Times New Roman"/>
                <w:sz w:val="22"/>
                <w:szCs w:val="22"/>
              </w:rPr>
            </w:pPr>
            <w:r w:rsidRPr="00AE0186">
              <w:rPr>
                <w:rFonts w:ascii="Times New Roman" w:eastAsia="Calibri" w:hAnsi="Times New Roman" w:cs="Times New Roman"/>
                <w:i/>
                <w:sz w:val="22"/>
                <w:szCs w:val="22"/>
              </w:rPr>
              <w:t>C</w:t>
            </w:r>
            <w:r w:rsidRPr="00AE0186">
              <w:rPr>
                <w:rFonts w:ascii="Times New Roman" w:eastAsia="Calibri" w:hAnsi="Times New Roman" w:cs="Times New Roman"/>
                <w:sz w:val="22"/>
                <w:szCs w:val="22"/>
              </w:rPr>
              <w:t xml:space="preserve"> = signal intensity after complete T1 relaxation with no bias</w:t>
            </w:r>
          </w:p>
          <w:p w14:paraId="36033ED6"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Calibri" w:hAnsi="Times New Roman" w:cs="Times New Roman"/>
                <w:sz w:val="22"/>
                <w:szCs w:val="22"/>
                <w:lang w:eastAsia="en-GB"/>
              </w:rPr>
              <w:t>Least squares fitting was used to estimate</w:t>
            </w:r>
            <w:r w:rsidRPr="00AE0186">
              <w:rPr>
                <w:rFonts w:ascii="Times New Roman" w:eastAsia="Calibri" w:hAnsi="Times New Roman" w:cs="Times New Roman"/>
                <w:i/>
                <w:sz w:val="22"/>
                <w:szCs w:val="22"/>
                <w:lang w:eastAsia="en-GB"/>
              </w:rPr>
              <w:t xml:space="preserve"> T1</w:t>
            </w:r>
          </w:p>
        </w:tc>
      </w:tr>
      <w:tr w:rsidR="00AE0186" w:rsidRPr="00AE0186" w14:paraId="73BB5555" w14:textId="77777777" w:rsidTr="00A42221">
        <w:tc>
          <w:tcPr>
            <w:tcW w:w="946" w:type="dxa"/>
          </w:tcPr>
          <w:p w14:paraId="3380201F"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hAnsi="Times New Roman" w:cs="Times New Roman"/>
                <w:i/>
                <w:sz w:val="22"/>
                <w:szCs w:val="22"/>
              </w:rPr>
              <w:t>T1</w:t>
            </w:r>
          </w:p>
        </w:tc>
        <w:tc>
          <w:tcPr>
            <w:tcW w:w="1981" w:type="dxa"/>
          </w:tcPr>
          <w:p w14:paraId="555D211F"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 xml:space="preserve">T1 time </w:t>
            </w:r>
          </w:p>
        </w:tc>
        <w:tc>
          <w:tcPr>
            <w:tcW w:w="6355" w:type="dxa"/>
          </w:tcPr>
          <w:p w14:paraId="70CC969F"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sz w:val="22"/>
                <w:szCs w:val="22"/>
              </w:rPr>
              <w:t>Longitudinal tissue relaxation time</w:t>
            </w:r>
          </w:p>
        </w:tc>
      </w:tr>
      <w:tr w:rsidR="00AE0186" w:rsidRPr="00AE0186" w14:paraId="5C14DFF6" w14:textId="77777777" w:rsidTr="00A42221">
        <w:tc>
          <w:tcPr>
            <w:tcW w:w="9282" w:type="dxa"/>
            <w:gridSpan w:val="3"/>
          </w:tcPr>
          <w:p w14:paraId="74C59C94" w14:textId="77777777" w:rsidR="00AE0186" w:rsidRPr="00AE0186" w:rsidRDefault="00AE0186" w:rsidP="00A42221">
            <w:pPr>
              <w:spacing w:after="80" w:line="240" w:lineRule="auto"/>
              <w:jc w:val="center"/>
              <w:rPr>
                <w:rFonts w:ascii="Times New Roman" w:hAnsi="Times New Roman" w:cs="Times New Roman"/>
                <w:b/>
                <w:sz w:val="22"/>
                <w:szCs w:val="22"/>
              </w:rPr>
            </w:pPr>
            <w:r w:rsidRPr="00AE0186">
              <w:rPr>
                <w:rFonts w:ascii="Times New Roman" w:hAnsi="Times New Roman" w:cs="Times New Roman"/>
                <w:b/>
                <w:sz w:val="22"/>
                <w:szCs w:val="22"/>
              </w:rPr>
              <w:t>Dynamic contrast enhancement (DCE) MRI</w:t>
            </w:r>
          </w:p>
        </w:tc>
      </w:tr>
      <w:tr w:rsidR="00AE0186" w:rsidRPr="00AE0186" w14:paraId="7E56568B" w14:textId="77777777" w:rsidTr="00A42221">
        <w:tc>
          <w:tcPr>
            <w:tcW w:w="2927" w:type="dxa"/>
            <w:gridSpan w:val="2"/>
          </w:tcPr>
          <w:p w14:paraId="27E0C67F" w14:textId="77777777" w:rsidR="00AE0186" w:rsidRPr="00AE0186" w:rsidRDefault="00AE0186" w:rsidP="00A42221">
            <w:pPr>
              <w:spacing w:after="80" w:line="240" w:lineRule="auto"/>
              <w:rPr>
                <w:rFonts w:ascii="Times New Roman" w:hAnsi="Times New Roman" w:cs="Times New Roman"/>
                <w:sz w:val="22"/>
                <w:szCs w:val="22"/>
              </w:rPr>
            </w:pPr>
          </w:p>
        </w:tc>
        <w:tc>
          <w:tcPr>
            <w:tcW w:w="6355" w:type="dxa"/>
          </w:tcPr>
          <w:p w14:paraId="752BBFB7" w14:textId="77777777" w:rsidR="00AE0186" w:rsidRPr="00AE0186" w:rsidRDefault="00AE0186" w:rsidP="00A42221">
            <w:pPr>
              <w:spacing w:after="80" w:line="240" w:lineRule="auto"/>
              <w:rPr>
                <w:rFonts w:ascii="Times New Roman" w:hAnsi="Times New Roman" w:cs="Times New Roman"/>
                <w:sz w:val="22"/>
                <w:szCs w:val="22"/>
                <w:u w:val="single"/>
              </w:rPr>
            </w:pPr>
            <w:r w:rsidRPr="00AE0186">
              <w:rPr>
                <w:rFonts w:ascii="Times New Roman" w:hAnsi="Times New Roman" w:cs="Times New Roman"/>
                <w:sz w:val="22"/>
                <w:szCs w:val="22"/>
                <w:u w:val="single"/>
              </w:rPr>
              <w:t>Semi quantitative characteristics</w:t>
            </w:r>
          </w:p>
          <w:p w14:paraId="2A66B78F"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i/>
                <w:sz w:val="22"/>
                <w:szCs w:val="22"/>
              </w:rPr>
              <w:lastRenderedPageBreak/>
              <w:t>S(t)</w:t>
            </w:r>
            <w:r w:rsidRPr="00AE0186">
              <w:rPr>
                <w:rFonts w:ascii="Times New Roman" w:hAnsi="Times New Roman" w:cs="Times New Roman"/>
                <w:sz w:val="22"/>
                <w:szCs w:val="22"/>
              </w:rPr>
              <w:t>, a continuous representation of signal intensity as a function of time, was determined by fitting a smoothing spline (smoothing parameter = 0.01)</w:t>
            </w:r>
          </w:p>
          <w:p w14:paraId="419CA7F7"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0</w:t>
            </w:r>
            <w:r w:rsidRPr="00AE0186">
              <w:rPr>
                <w:rFonts w:ascii="Times New Roman" w:hAnsi="Times New Roman" w:cs="Times New Roman"/>
                <w:sz w:val="22"/>
                <w:szCs w:val="22"/>
              </w:rPr>
              <w:t>, the baseline signal intensity, was defined as the mean of the pre-contrast dynamics</w:t>
            </w:r>
          </w:p>
          <w:p w14:paraId="31E47F5B" w14:textId="77777777" w:rsidR="00AE0186" w:rsidRPr="00AE0186" w:rsidRDefault="00247771" w:rsidP="00A42221">
            <w:pPr>
              <w:spacing w:after="80" w:line="240" w:lineRule="auto"/>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voxel</m:t>
                  </m:r>
                </m:sub>
              </m:sSub>
            </m:oMath>
            <w:r w:rsidR="00AE0186" w:rsidRPr="00AE0186">
              <w:rPr>
                <w:rFonts w:ascii="Times New Roman" w:hAnsi="Times New Roman" w:cs="Times New Roman"/>
                <w:sz w:val="22"/>
                <w:szCs w:val="22"/>
              </w:rPr>
              <w:t xml:space="preserve">, the voxel noise, was defined as the standard deviation of the residuals of </w:t>
            </w:r>
            <w:r w:rsidR="00AE0186" w:rsidRPr="00AE0186">
              <w:rPr>
                <w:rFonts w:ascii="Times New Roman" w:hAnsi="Times New Roman" w:cs="Times New Roman"/>
                <w:i/>
                <w:sz w:val="22"/>
                <w:szCs w:val="22"/>
              </w:rPr>
              <w:t xml:space="preserve">S(t) </w:t>
            </w:r>
            <w:r w:rsidR="00AE0186" w:rsidRPr="00AE0186">
              <w:rPr>
                <w:rFonts w:ascii="Times New Roman" w:hAnsi="Times New Roman" w:cs="Times New Roman"/>
                <w:sz w:val="22"/>
                <w:szCs w:val="22"/>
              </w:rPr>
              <w:t>for each voxel</w:t>
            </w:r>
          </w:p>
          <w:p w14:paraId="25F68A9F" w14:textId="77777777" w:rsidR="00AE0186" w:rsidRPr="00AE0186" w:rsidRDefault="00AE0186" w:rsidP="00A42221">
            <w:pPr>
              <w:spacing w:after="80" w:line="240" w:lineRule="auto"/>
              <w:rPr>
                <w:rFonts w:ascii="Times New Roman" w:hAnsi="Times New Roman" w:cs="Times New Roman"/>
                <w:sz w:val="22"/>
                <w:szCs w:val="22"/>
              </w:rPr>
            </w:pPr>
            <m:oMath>
              <m:r>
                <w:rPr>
                  <w:rFonts w:ascii="Cambria Math" w:hAnsi="Cambria Math" w:cs="Times New Roman"/>
                  <w:sz w:val="22"/>
                  <w:szCs w:val="22"/>
                </w:rPr>
                <m:t>S</m:t>
              </m:r>
              <m:d>
                <m:dPr>
                  <m:ctrlPr>
                    <w:rPr>
                      <w:rFonts w:ascii="Cambria Math" w:hAnsi="Cambria Math" w:cs="Times New Roman"/>
                      <w:i/>
                      <w:sz w:val="22"/>
                      <w:szCs w:val="22"/>
                    </w:rPr>
                  </m:ctrlPr>
                </m:dPr>
                <m:e>
                  <m:r>
                    <w:rPr>
                      <w:rFonts w:ascii="Cambria Math" w:hAnsi="Cambria Math" w:cs="Times New Roman"/>
                      <w:sz w:val="22"/>
                      <w:szCs w:val="22"/>
                    </w:rPr>
                    <m:t>t</m:t>
                  </m:r>
                </m:e>
              </m:d>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0</m:t>
                  </m:r>
                </m:sub>
              </m:sSub>
              <m:r>
                <w:rPr>
                  <w:rFonts w:ascii="Cambria Math" w:hAnsi="Cambria Math" w:cs="Times New Roman"/>
                  <w:sz w:val="22"/>
                  <w:szCs w:val="22"/>
                </w:rPr>
                <m:t>+5∙</m:t>
              </m:r>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voxel</m:t>
                  </m:r>
                </m:sub>
              </m:sSub>
            </m:oMath>
            <w:r w:rsidRPr="00AE0186">
              <w:rPr>
                <w:rFonts w:ascii="Times New Roman" w:hAnsi="Times New Roman" w:cs="Times New Roman"/>
                <w:sz w:val="22"/>
                <w:szCs w:val="22"/>
              </w:rPr>
              <w:t xml:space="preserve"> defined significant contrast enhancement</w:t>
            </w:r>
          </w:p>
          <w:p w14:paraId="7E30B0F4" w14:textId="77777777" w:rsidR="00AE0186" w:rsidRPr="00AE0186" w:rsidRDefault="00247771" w:rsidP="00A42221">
            <w:pPr>
              <w:spacing w:after="80" w:line="240" w:lineRule="auto"/>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image</m:t>
                  </m:r>
                </m:sub>
              </m:sSub>
            </m:oMath>
            <w:r w:rsidR="00AE0186" w:rsidRPr="00AE0186">
              <w:rPr>
                <w:rFonts w:ascii="Times New Roman" w:hAnsi="Times New Roman" w:cs="Times New Roman"/>
                <w:sz w:val="22"/>
                <w:szCs w:val="22"/>
              </w:rPr>
              <w:t xml:space="preserve">, the image noise, was defined as the mean of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voxel</m:t>
                  </m:r>
                </m:sub>
              </m:sSub>
              <m:r>
                <w:rPr>
                  <w:rFonts w:ascii="Cambria Math" w:hAnsi="Cambria Math" w:cs="Times New Roman"/>
                  <w:sz w:val="22"/>
                  <w:szCs w:val="22"/>
                </w:rPr>
                <m:t xml:space="preserve"> </m:t>
              </m:r>
            </m:oMath>
          </w:p>
          <w:p w14:paraId="2D016D83" w14:textId="77777777" w:rsidR="00AE0186" w:rsidRPr="00AE0186" w:rsidRDefault="00247771" w:rsidP="00A42221">
            <w:pPr>
              <w:spacing w:after="80" w:line="240" w:lineRule="auto"/>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0</m:t>
                  </m:r>
                </m:sub>
              </m:sSub>
              <m:r>
                <w:rPr>
                  <w:rFonts w:ascii="Cambria Math" w:hAnsi="Cambria Math" w:cs="Times New Roman"/>
                  <w:sz w:val="22"/>
                  <w:szCs w:val="22"/>
                </w:rPr>
                <m:t>&gt;5∙</m:t>
              </m:r>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image</m:t>
                  </m:r>
                </m:sub>
              </m:sSub>
            </m:oMath>
            <w:r w:rsidR="00AE0186" w:rsidRPr="00AE0186">
              <w:rPr>
                <w:rFonts w:ascii="Times New Roman" w:hAnsi="Times New Roman" w:cs="Times New Roman"/>
                <w:sz w:val="22"/>
                <w:szCs w:val="22"/>
              </w:rPr>
              <w:t xml:space="preserve"> defined the threshold for inclusion of voxels in the analysis</w:t>
            </w:r>
          </w:p>
          <w:p w14:paraId="2AD31195"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hAnsi="Times New Roman" w:cs="Times New Roman"/>
                <w:i/>
                <w:sz w:val="22"/>
                <w:szCs w:val="22"/>
              </w:rPr>
              <w:t>S</w:t>
            </w:r>
            <w:r w:rsidRPr="00AE0186">
              <w:rPr>
                <w:rFonts w:ascii="Times New Roman" w:hAnsi="Times New Roman" w:cs="Times New Roman"/>
                <w:i/>
                <w:sz w:val="22"/>
                <w:szCs w:val="22"/>
                <w:vertAlign w:val="subscript"/>
              </w:rPr>
              <w:t>max</w:t>
            </w:r>
            <w:r w:rsidRPr="00AE0186">
              <w:rPr>
                <w:rFonts w:ascii="Times New Roman" w:hAnsi="Times New Roman" w:cs="Times New Roman"/>
                <w:sz w:val="22"/>
                <w:szCs w:val="22"/>
              </w:rPr>
              <w:t xml:space="preserve"> was defined as the maximum value of </w:t>
            </w:r>
            <w:r w:rsidRPr="00AE0186">
              <w:rPr>
                <w:rFonts w:ascii="Times New Roman" w:hAnsi="Times New Roman" w:cs="Times New Roman"/>
                <w:i/>
                <w:sz w:val="22"/>
                <w:szCs w:val="22"/>
              </w:rPr>
              <w:t>S(t)</w:t>
            </w:r>
            <w:r w:rsidRPr="00AE0186">
              <w:rPr>
                <w:rFonts w:ascii="Times New Roman" w:hAnsi="Times New Roman" w:cs="Times New Roman"/>
                <w:sz w:val="22"/>
                <w:szCs w:val="22"/>
              </w:rPr>
              <w:t xml:space="preserve"> for each voxel</w:t>
            </w:r>
          </w:p>
        </w:tc>
      </w:tr>
      <w:tr w:rsidR="00AE0186" w:rsidRPr="00AE0186" w14:paraId="05A3224A" w14:textId="77777777" w:rsidTr="00A42221">
        <w:tc>
          <w:tcPr>
            <w:tcW w:w="946" w:type="dxa"/>
          </w:tcPr>
          <w:p w14:paraId="51431565" w14:textId="77777777" w:rsidR="00AE0186" w:rsidRPr="00AE0186" w:rsidRDefault="00AE0186" w:rsidP="00A42221">
            <w:pPr>
              <w:spacing w:after="80" w:line="240" w:lineRule="auto"/>
              <w:rPr>
                <w:rFonts w:ascii="Times New Roman" w:hAnsi="Times New Roman" w:cs="Times New Roman"/>
                <w:i/>
                <w:sz w:val="22"/>
                <w:szCs w:val="22"/>
              </w:rPr>
            </w:pPr>
            <w:r w:rsidRPr="00AE0186">
              <w:rPr>
                <w:rFonts w:ascii="Times New Roman" w:eastAsia="Times New Roman" w:hAnsi="Times New Roman" w:cs="Times New Roman"/>
                <w:i/>
                <w:color w:val="000000"/>
                <w:sz w:val="22"/>
                <w:szCs w:val="22"/>
                <w:lang w:eastAsia="en-GB"/>
              </w:rPr>
              <w:lastRenderedPageBreak/>
              <w:t>AT</w:t>
            </w:r>
          </w:p>
        </w:tc>
        <w:tc>
          <w:tcPr>
            <w:tcW w:w="1981" w:type="dxa"/>
          </w:tcPr>
          <w:p w14:paraId="1598AA1F"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Times New Roman" w:hAnsi="Times New Roman" w:cs="Times New Roman"/>
                <w:color w:val="000000"/>
                <w:sz w:val="22"/>
                <w:szCs w:val="22"/>
                <w:lang w:eastAsia="en-GB"/>
              </w:rPr>
              <w:t>Arrival time</w:t>
            </w:r>
          </w:p>
        </w:tc>
        <w:tc>
          <w:tcPr>
            <w:tcW w:w="6355" w:type="dxa"/>
          </w:tcPr>
          <w:p w14:paraId="1CC3265B" w14:textId="77777777" w:rsidR="00AE0186" w:rsidRPr="00AE0186" w:rsidRDefault="00AE0186" w:rsidP="00A42221">
            <w:pPr>
              <w:spacing w:after="80" w:line="240" w:lineRule="auto"/>
              <w:rPr>
                <w:rFonts w:ascii="Times New Roman" w:hAnsi="Times New Roman" w:cs="Times New Roman"/>
                <w:sz w:val="22"/>
                <w:szCs w:val="22"/>
              </w:rPr>
            </w:pPr>
            <w:r w:rsidRPr="00AE0186">
              <w:rPr>
                <w:rFonts w:ascii="Times New Roman" w:eastAsia="Times New Roman" w:hAnsi="Times New Roman" w:cs="Times New Roman"/>
                <w:color w:val="000000"/>
                <w:sz w:val="22"/>
                <w:szCs w:val="22"/>
                <w:lang w:eastAsia="en-GB"/>
              </w:rPr>
              <w:t>Time after injection required for signal intensity to reach significant enhancement</w:t>
            </w:r>
          </w:p>
        </w:tc>
      </w:tr>
      <w:tr w:rsidR="00AE0186" w:rsidRPr="00AE0186" w14:paraId="44FF047A" w14:textId="77777777" w:rsidTr="00A42221">
        <w:tc>
          <w:tcPr>
            <w:tcW w:w="946" w:type="dxa"/>
          </w:tcPr>
          <w:p w14:paraId="5E673152"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TOP</w:t>
            </w:r>
          </w:p>
        </w:tc>
        <w:tc>
          <w:tcPr>
            <w:tcW w:w="1981" w:type="dxa"/>
          </w:tcPr>
          <w:p w14:paraId="37DBF8B9"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Time of peak intensity </w:t>
            </w:r>
          </w:p>
        </w:tc>
        <w:tc>
          <w:tcPr>
            <w:tcW w:w="6355" w:type="dxa"/>
          </w:tcPr>
          <w:p w14:paraId="0CE19432"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Time after injection required to reach maximum signal intensity</w:t>
            </w:r>
          </w:p>
        </w:tc>
      </w:tr>
      <w:tr w:rsidR="00AE0186" w:rsidRPr="00AE0186" w14:paraId="103668A7" w14:textId="77777777" w:rsidTr="00A42221">
        <w:tc>
          <w:tcPr>
            <w:tcW w:w="946" w:type="dxa"/>
          </w:tcPr>
          <w:p w14:paraId="065B8CA6"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TTP</w:t>
            </w:r>
          </w:p>
        </w:tc>
        <w:tc>
          <w:tcPr>
            <w:tcW w:w="1981" w:type="dxa"/>
          </w:tcPr>
          <w:p w14:paraId="012F64FF"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Time to peak </w:t>
            </w:r>
          </w:p>
        </w:tc>
        <w:tc>
          <w:tcPr>
            <w:tcW w:w="6355" w:type="dxa"/>
          </w:tcPr>
          <w:p w14:paraId="12422FF4"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Time between </w:t>
            </w:r>
            <w:r w:rsidRPr="00AE0186">
              <w:rPr>
                <w:rFonts w:ascii="Times New Roman" w:eastAsia="Times New Roman" w:hAnsi="Times New Roman" w:cs="Times New Roman"/>
                <w:i/>
                <w:color w:val="000000"/>
                <w:sz w:val="22"/>
                <w:szCs w:val="22"/>
                <w:lang w:eastAsia="en-GB"/>
              </w:rPr>
              <w:t>AT</w:t>
            </w:r>
            <w:r w:rsidRPr="00AE0186">
              <w:rPr>
                <w:rFonts w:ascii="Times New Roman" w:eastAsia="Times New Roman" w:hAnsi="Times New Roman" w:cs="Times New Roman"/>
                <w:color w:val="000000"/>
                <w:sz w:val="22"/>
                <w:szCs w:val="22"/>
                <w:lang w:eastAsia="en-GB"/>
              </w:rPr>
              <w:t xml:space="preserve"> and </w:t>
            </w:r>
            <w:r w:rsidRPr="00AE0186">
              <w:rPr>
                <w:rFonts w:ascii="Times New Roman" w:eastAsia="Times New Roman" w:hAnsi="Times New Roman" w:cs="Times New Roman"/>
                <w:i/>
                <w:color w:val="000000"/>
                <w:sz w:val="22"/>
                <w:szCs w:val="22"/>
                <w:lang w:eastAsia="en-GB"/>
              </w:rPr>
              <w:t>TOP</w:t>
            </w:r>
          </w:p>
        </w:tc>
      </w:tr>
      <w:tr w:rsidR="00AE0186" w:rsidRPr="00AE0186" w14:paraId="42F2EF23" w14:textId="77777777" w:rsidTr="00A42221">
        <w:tc>
          <w:tcPr>
            <w:tcW w:w="946" w:type="dxa"/>
          </w:tcPr>
          <w:p w14:paraId="125998D0"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hAnsi="Times New Roman" w:cs="Times New Roman"/>
                <w:i/>
                <w:sz w:val="22"/>
                <w:szCs w:val="22"/>
                <w:lang w:eastAsia="en-GB"/>
              </w:rPr>
              <w:t>SEmax</w:t>
            </w:r>
          </w:p>
        </w:tc>
        <w:tc>
          <w:tcPr>
            <w:tcW w:w="1981" w:type="dxa"/>
          </w:tcPr>
          <w:p w14:paraId="12481FFF"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hAnsi="Times New Roman" w:cs="Times New Roman"/>
                <w:sz w:val="22"/>
                <w:szCs w:val="22"/>
                <w:lang w:eastAsia="en-GB"/>
              </w:rPr>
              <w:t>Relative, maximum signal enhancement</w:t>
            </w:r>
          </w:p>
        </w:tc>
        <w:tc>
          <w:tcPr>
            <w:tcW w:w="6355" w:type="dxa"/>
          </w:tcPr>
          <w:p w14:paraId="74002CD9"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Maximum signal intensity relative to baseline signal intensity: </w:t>
            </w:r>
          </w:p>
          <w:p w14:paraId="45C573A9"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(S</w:t>
            </w:r>
            <w:r w:rsidRPr="00AE0186">
              <w:rPr>
                <w:rFonts w:ascii="Times New Roman" w:eastAsia="Times New Roman" w:hAnsi="Times New Roman" w:cs="Times New Roman"/>
                <w:i/>
                <w:color w:val="000000"/>
                <w:sz w:val="22"/>
                <w:szCs w:val="22"/>
                <w:vertAlign w:val="subscript"/>
                <w:lang w:eastAsia="en-GB"/>
              </w:rPr>
              <w:t>max</w:t>
            </w:r>
            <w:r w:rsidRPr="00AE0186">
              <w:rPr>
                <w:rFonts w:ascii="Times New Roman" w:eastAsia="Times New Roman" w:hAnsi="Times New Roman" w:cs="Times New Roman"/>
                <w:i/>
                <w:color w:val="000000"/>
                <w:sz w:val="22"/>
                <w:szCs w:val="22"/>
                <w:lang w:eastAsia="en-GB"/>
              </w:rPr>
              <w:t xml:space="preserve"> – S</w:t>
            </w:r>
            <w:r w:rsidRPr="00AE0186">
              <w:rPr>
                <w:rFonts w:ascii="Times New Roman" w:eastAsia="Times New Roman" w:hAnsi="Times New Roman" w:cs="Times New Roman"/>
                <w:i/>
                <w:color w:val="000000"/>
                <w:sz w:val="22"/>
                <w:szCs w:val="22"/>
                <w:vertAlign w:val="subscript"/>
                <w:lang w:eastAsia="en-GB"/>
              </w:rPr>
              <w:t>0</w:t>
            </w:r>
            <w:r w:rsidRPr="00AE0186">
              <w:rPr>
                <w:rFonts w:ascii="Times New Roman" w:eastAsia="Times New Roman" w:hAnsi="Times New Roman" w:cs="Times New Roman"/>
                <w:i/>
                <w:color w:val="000000"/>
                <w:sz w:val="22"/>
                <w:szCs w:val="22"/>
                <w:lang w:eastAsia="en-GB"/>
              </w:rPr>
              <w:t>) / S</w:t>
            </w:r>
            <w:r w:rsidRPr="00AE0186">
              <w:rPr>
                <w:rFonts w:ascii="Times New Roman" w:eastAsia="Times New Roman" w:hAnsi="Times New Roman" w:cs="Times New Roman"/>
                <w:i/>
                <w:color w:val="000000"/>
                <w:sz w:val="22"/>
                <w:szCs w:val="22"/>
                <w:vertAlign w:val="subscript"/>
                <w:lang w:eastAsia="en-GB"/>
              </w:rPr>
              <w:t>0</w:t>
            </w:r>
          </w:p>
        </w:tc>
      </w:tr>
      <w:tr w:rsidR="00AE0186" w:rsidRPr="00AE0186" w14:paraId="0BBB8277" w14:textId="77777777" w:rsidTr="00A42221">
        <w:tc>
          <w:tcPr>
            <w:tcW w:w="946" w:type="dxa"/>
          </w:tcPr>
          <w:p w14:paraId="7CCCFC42" w14:textId="77777777" w:rsidR="00AE0186" w:rsidRPr="00AE0186" w:rsidRDefault="00AE0186" w:rsidP="00A42221">
            <w:pPr>
              <w:spacing w:after="80" w:line="240" w:lineRule="auto"/>
              <w:rPr>
                <w:rFonts w:ascii="Times New Roman" w:hAnsi="Times New Roman" w:cs="Times New Roman"/>
                <w:i/>
                <w:sz w:val="22"/>
                <w:szCs w:val="22"/>
                <w:lang w:eastAsia="en-GB"/>
              </w:rPr>
            </w:pPr>
            <w:r w:rsidRPr="00AE0186">
              <w:rPr>
                <w:rFonts w:ascii="Times New Roman" w:eastAsia="Times New Roman" w:hAnsi="Times New Roman" w:cs="Times New Roman"/>
                <w:i/>
                <w:color w:val="000000"/>
                <w:sz w:val="22"/>
                <w:szCs w:val="22"/>
                <w:lang w:eastAsia="en-GB"/>
              </w:rPr>
              <w:t>SE60</w:t>
            </w:r>
          </w:p>
        </w:tc>
        <w:tc>
          <w:tcPr>
            <w:tcW w:w="1981" w:type="dxa"/>
          </w:tcPr>
          <w:p w14:paraId="5EF67B6B" w14:textId="77777777" w:rsidR="00AE0186" w:rsidRPr="00AE0186" w:rsidRDefault="00AE0186" w:rsidP="00A42221">
            <w:pPr>
              <w:spacing w:after="80" w:line="240" w:lineRule="auto"/>
              <w:rPr>
                <w:rFonts w:ascii="Times New Roman" w:hAnsi="Times New Roman" w:cs="Times New Roman"/>
                <w:sz w:val="22"/>
                <w:szCs w:val="22"/>
                <w:lang w:eastAsia="en-GB"/>
              </w:rPr>
            </w:pPr>
            <w:r w:rsidRPr="00AE0186">
              <w:rPr>
                <w:rFonts w:ascii="Times New Roman" w:eastAsia="Times New Roman" w:hAnsi="Times New Roman" w:cs="Times New Roman"/>
                <w:color w:val="000000"/>
                <w:sz w:val="22"/>
                <w:szCs w:val="22"/>
                <w:lang w:eastAsia="en-GB"/>
              </w:rPr>
              <w:t>Relative signal enhancement at 60 s</w:t>
            </w:r>
          </w:p>
        </w:tc>
        <w:tc>
          <w:tcPr>
            <w:tcW w:w="6355" w:type="dxa"/>
          </w:tcPr>
          <w:p w14:paraId="30E9930F"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Signal intensity at 60 s after injection relative to signal baseline intensity: </w:t>
            </w:r>
            <w:r w:rsidRPr="00AE0186">
              <w:rPr>
                <w:rFonts w:ascii="Times New Roman" w:eastAsia="Times New Roman" w:hAnsi="Times New Roman" w:cs="Times New Roman"/>
                <w:color w:val="000000"/>
                <w:sz w:val="22"/>
                <w:szCs w:val="22"/>
                <w:lang w:eastAsia="en-GB"/>
              </w:rPr>
              <w:br/>
            </w:r>
            <w:r w:rsidRPr="00AE0186">
              <w:rPr>
                <w:rFonts w:ascii="Times New Roman" w:eastAsia="Times New Roman" w:hAnsi="Times New Roman" w:cs="Times New Roman"/>
                <w:i/>
                <w:color w:val="000000"/>
                <w:sz w:val="22"/>
                <w:szCs w:val="22"/>
                <w:lang w:eastAsia="en-GB"/>
              </w:rPr>
              <w:t>[S(60 s) – S</w:t>
            </w:r>
            <w:r w:rsidRPr="00AE0186">
              <w:rPr>
                <w:rFonts w:ascii="Times New Roman" w:eastAsia="Times New Roman" w:hAnsi="Times New Roman" w:cs="Times New Roman"/>
                <w:i/>
                <w:color w:val="000000"/>
                <w:sz w:val="22"/>
                <w:szCs w:val="22"/>
                <w:vertAlign w:val="subscript"/>
                <w:lang w:eastAsia="en-GB"/>
              </w:rPr>
              <w:t>0</w:t>
            </w:r>
            <w:r w:rsidRPr="00AE0186">
              <w:rPr>
                <w:rFonts w:ascii="Times New Roman" w:eastAsia="Times New Roman" w:hAnsi="Times New Roman" w:cs="Times New Roman"/>
                <w:i/>
                <w:color w:val="000000"/>
                <w:sz w:val="22"/>
                <w:szCs w:val="22"/>
                <w:lang w:eastAsia="en-GB"/>
              </w:rPr>
              <w:t>] / S</w:t>
            </w:r>
            <w:r w:rsidRPr="00AE0186">
              <w:rPr>
                <w:rFonts w:ascii="Times New Roman" w:eastAsia="Times New Roman" w:hAnsi="Times New Roman" w:cs="Times New Roman"/>
                <w:i/>
                <w:color w:val="000000"/>
                <w:sz w:val="22"/>
                <w:szCs w:val="22"/>
                <w:vertAlign w:val="subscript"/>
                <w:lang w:eastAsia="en-GB"/>
              </w:rPr>
              <w:t>0</w:t>
            </w:r>
          </w:p>
        </w:tc>
      </w:tr>
      <w:tr w:rsidR="00AE0186" w:rsidRPr="00AE0186" w14:paraId="037E36D1" w14:textId="77777777" w:rsidTr="00A42221">
        <w:tc>
          <w:tcPr>
            <w:tcW w:w="946" w:type="dxa"/>
          </w:tcPr>
          <w:p w14:paraId="3388C4CE"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SER</w:t>
            </w:r>
          </w:p>
        </w:tc>
        <w:tc>
          <w:tcPr>
            <w:tcW w:w="1981" w:type="dxa"/>
          </w:tcPr>
          <w:p w14:paraId="20F2E7CF"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Signal enhancement ratio</w:t>
            </w:r>
          </w:p>
        </w:tc>
        <w:tc>
          <w:tcPr>
            <w:tcW w:w="6355" w:type="dxa"/>
          </w:tcPr>
          <w:p w14:paraId="21B3A2EE"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Ratio of early (55 s) and late (300 s) relative signal enhancements</w:t>
            </w:r>
          </w:p>
        </w:tc>
      </w:tr>
      <w:tr w:rsidR="00AE0186" w:rsidRPr="00AE0186" w14:paraId="016C129A" w14:textId="77777777" w:rsidTr="00A42221">
        <w:tc>
          <w:tcPr>
            <w:tcW w:w="946" w:type="dxa"/>
          </w:tcPr>
          <w:p w14:paraId="1C09A5CD"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CER</w:t>
            </w:r>
          </w:p>
        </w:tc>
        <w:tc>
          <w:tcPr>
            <w:tcW w:w="1981" w:type="dxa"/>
          </w:tcPr>
          <w:p w14:paraId="392A73F4"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Contrast enhancement ratio</w:t>
            </w:r>
          </w:p>
        </w:tc>
        <w:tc>
          <w:tcPr>
            <w:tcW w:w="6355" w:type="dxa"/>
          </w:tcPr>
          <w:p w14:paraId="2CAF203F" w14:textId="77777777" w:rsidR="00AE0186" w:rsidRPr="00AE0186" w:rsidRDefault="00AE0186" w:rsidP="00A42221">
            <w:pPr>
              <w:spacing w:after="80" w:line="240" w:lineRule="auto"/>
              <w:rPr>
                <w:rFonts w:ascii="Times New Roman" w:eastAsia="Times New Roman" w:hAnsi="Times New Roman" w:cs="Times New Roman"/>
                <w:color w:val="000000"/>
                <w:sz w:val="22"/>
                <w:szCs w:val="22"/>
                <w:vertAlign w:val="subscript"/>
                <w:lang w:eastAsia="en-GB"/>
              </w:rPr>
            </w:pPr>
            <w:r w:rsidRPr="00AE0186">
              <w:rPr>
                <w:rFonts w:ascii="Times New Roman" w:eastAsia="Times New Roman" w:hAnsi="Times New Roman" w:cs="Times New Roman"/>
                <w:color w:val="000000"/>
                <w:sz w:val="22"/>
                <w:szCs w:val="22"/>
                <w:lang w:eastAsia="en-GB"/>
              </w:rPr>
              <w:t xml:space="preserve">Ratio of maximum signal intensity and baseline signal intensity: </w:t>
            </w:r>
            <w:r w:rsidRPr="00AE0186">
              <w:rPr>
                <w:rFonts w:ascii="Times New Roman" w:eastAsia="Times New Roman" w:hAnsi="Times New Roman" w:cs="Times New Roman"/>
                <w:color w:val="000000"/>
                <w:sz w:val="22"/>
                <w:szCs w:val="22"/>
                <w:lang w:eastAsia="en-GB"/>
              </w:rPr>
              <w:br/>
            </w:r>
            <w:r w:rsidRPr="00AE0186">
              <w:rPr>
                <w:rFonts w:ascii="Times New Roman" w:eastAsia="Times New Roman" w:hAnsi="Times New Roman" w:cs="Times New Roman"/>
                <w:i/>
                <w:color w:val="000000"/>
                <w:sz w:val="22"/>
                <w:szCs w:val="22"/>
                <w:lang w:eastAsia="en-GB"/>
              </w:rPr>
              <w:t>S</w:t>
            </w:r>
            <w:r w:rsidRPr="00AE0186">
              <w:rPr>
                <w:rFonts w:ascii="Times New Roman" w:eastAsia="Times New Roman" w:hAnsi="Times New Roman" w:cs="Times New Roman"/>
                <w:i/>
                <w:color w:val="000000"/>
                <w:sz w:val="22"/>
                <w:szCs w:val="22"/>
                <w:vertAlign w:val="subscript"/>
                <w:lang w:eastAsia="en-GB"/>
              </w:rPr>
              <w:t>max</w:t>
            </w:r>
            <w:r w:rsidRPr="00AE0186">
              <w:rPr>
                <w:rFonts w:ascii="Times New Roman" w:eastAsia="Times New Roman" w:hAnsi="Times New Roman" w:cs="Times New Roman"/>
                <w:i/>
                <w:color w:val="000000"/>
                <w:sz w:val="22"/>
                <w:szCs w:val="22"/>
                <w:lang w:eastAsia="en-GB"/>
              </w:rPr>
              <w:t xml:space="preserve"> / S</w:t>
            </w:r>
            <w:r w:rsidRPr="00AE0186">
              <w:rPr>
                <w:rFonts w:ascii="Times New Roman" w:eastAsia="Times New Roman" w:hAnsi="Times New Roman" w:cs="Times New Roman"/>
                <w:i/>
                <w:color w:val="000000"/>
                <w:sz w:val="22"/>
                <w:szCs w:val="22"/>
                <w:vertAlign w:val="subscript"/>
                <w:lang w:eastAsia="en-GB"/>
              </w:rPr>
              <w:t>0</w:t>
            </w:r>
          </w:p>
          <w:p w14:paraId="5574EB19"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Missing value if no significant enhancement was obtained</w:t>
            </w:r>
          </w:p>
        </w:tc>
      </w:tr>
      <w:tr w:rsidR="00AE0186" w:rsidRPr="00AE0186" w14:paraId="071E65E2" w14:textId="77777777" w:rsidTr="00A42221">
        <w:tc>
          <w:tcPr>
            <w:tcW w:w="946" w:type="dxa"/>
          </w:tcPr>
          <w:p w14:paraId="2A123C5E"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AUCn</w:t>
            </w:r>
          </w:p>
        </w:tc>
        <w:tc>
          <w:tcPr>
            <w:tcW w:w="1981" w:type="dxa"/>
          </w:tcPr>
          <w:p w14:paraId="18A2B240"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Normalised area under the curve</w:t>
            </w:r>
          </w:p>
        </w:tc>
        <w:tc>
          <w:tcPr>
            <w:tcW w:w="6355" w:type="dxa"/>
          </w:tcPr>
          <w:p w14:paraId="349D06E6"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Area under </w:t>
            </w:r>
            <w:r w:rsidRPr="00AE0186">
              <w:rPr>
                <w:rFonts w:ascii="Times New Roman" w:eastAsia="Times New Roman" w:hAnsi="Times New Roman" w:cs="Times New Roman"/>
                <w:i/>
                <w:color w:val="000000"/>
                <w:sz w:val="22"/>
                <w:szCs w:val="22"/>
                <w:lang w:eastAsia="en-GB"/>
              </w:rPr>
              <w:t>S(t)</w:t>
            </w:r>
            <w:r w:rsidRPr="00AE0186">
              <w:rPr>
                <w:rFonts w:ascii="Times New Roman" w:eastAsia="Times New Roman" w:hAnsi="Times New Roman" w:cs="Times New Roman"/>
                <w:color w:val="000000"/>
                <w:sz w:val="22"/>
                <w:szCs w:val="22"/>
                <w:lang w:eastAsia="en-GB"/>
              </w:rPr>
              <w:t xml:space="preserve"> between 0 and 5 minutes, normalised to</w:t>
            </w:r>
            <w:r w:rsidRPr="00AE0186">
              <w:rPr>
                <w:rFonts w:ascii="Times New Roman" w:eastAsia="Times New Roman" w:hAnsi="Times New Roman" w:cs="Times New Roman"/>
                <w:i/>
                <w:color w:val="000000"/>
                <w:sz w:val="22"/>
                <w:szCs w:val="22"/>
                <w:lang w:eastAsia="en-GB"/>
              </w:rPr>
              <w:t xml:space="preserve"> S</w:t>
            </w:r>
            <w:r w:rsidRPr="00AE0186">
              <w:rPr>
                <w:rFonts w:ascii="Times New Roman" w:eastAsia="Times New Roman" w:hAnsi="Times New Roman" w:cs="Times New Roman"/>
                <w:i/>
                <w:color w:val="000000"/>
                <w:sz w:val="22"/>
                <w:szCs w:val="22"/>
                <w:vertAlign w:val="subscript"/>
                <w:lang w:eastAsia="en-GB"/>
              </w:rPr>
              <w:t>0</w:t>
            </w:r>
          </w:p>
        </w:tc>
      </w:tr>
      <w:tr w:rsidR="00AE0186" w:rsidRPr="00AE0186" w14:paraId="7BAD7DF9" w14:textId="77777777" w:rsidTr="00A42221">
        <w:tc>
          <w:tcPr>
            <w:tcW w:w="946" w:type="dxa"/>
          </w:tcPr>
          <w:p w14:paraId="34375366"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WI</w:t>
            </w:r>
          </w:p>
        </w:tc>
        <w:tc>
          <w:tcPr>
            <w:tcW w:w="1981" w:type="dxa"/>
          </w:tcPr>
          <w:p w14:paraId="49874C67"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Wash in</w:t>
            </w:r>
          </w:p>
        </w:tc>
        <w:tc>
          <w:tcPr>
            <w:tcW w:w="6355" w:type="dxa"/>
          </w:tcPr>
          <w:p w14:paraId="668AF387"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Maximum time derivative of </w:t>
            </w:r>
            <w:r w:rsidRPr="00AE0186">
              <w:rPr>
                <w:rFonts w:ascii="Times New Roman" w:eastAsia="Times New Roman" w:hAnsi="Times New Roman" w:cs="Times New Roman"/>
                <w:i/>
                <w:color w:val="000000"/>
                <w:sz w:val="22"/>
                <w:szCs w:val="22"/>
                <w:lang w:eastAsia="en-GB"/>
              </w:rPr>
              <w:t>S(t)</w:t>
            </w:r>
            <w:r w:rsidRPr="00AE0186">
              <w:rPr>
                <w:rFonts w:ascii="Times New Roman" w:eastAsia="Times New Roman" w:hAnsi="Times New Roman" w:cs="Times New Roman"/>
                <w:color w:val="000000"/>
                <w:sz w:val="22"/>
                <w:szCs w:val="22"/>
                <w:lang w:eastAsia="en-GB"/>
              </w:rPr>
              <w:t xml:space="preserve"> between </w:t>
            </w:r>
            <w:r w:rsidRPr="00AE0186">
              <w:rPr>
                <w:rFonts w:ascii="Times New Roman" w:eastAsia="Times New Roman" w:hAnsi="Times New Roman" w:cs="Times New Roman"/>
                <w:i/>
                <w:color w:val="000000"/>
                <w:sz w:val="22"/>
                <w:szCs w:val="22"/>
                <w:lang w:eastAsia="en-GB"/>
              </w:rPr>
              <w:t>AT</w:t>
            </w:r>
            <w:r w:rsidRPr="00AE0186">
              <w:rPr>
                <w:rFonts w:ascii="Times New Roman" w:eastAsia="Times New Roman" w:hAnsi="Times New Roman" w:cs="Times New Roman"/>
                <w:color w:val="000000"/>
                <w:sz w:val="22"/>
                <w:szCs w:val="22"/>
                <w:lang w:eastAsia="en-GB"/>
              </w:rPr>
              <w:t xml:space="preserve"> and </w:t>
            </w:r>
            <w:r w:rsidRPr="00AE0186">
              <w:rPr>
                <w:rFonts w:ascii="Times New Roman" w:eastAsia="Times New Roman" w:hAnsi="Times New Roman" w:cs="Times New Roman"/>
                <w:i/>
                <w:color w:val="000000"/>
                <w:sz w:val="22"/>
                <w:szCs w:val="22"/>
                <w:lang w:eastAsia="en-GB"/>
              </w:rPr>
              <w:t>TOP</w:t>
            </w:r>
          </w:p>
        </w:tc>
      </w:tr>
      <w:tr w:rsidR="00AE0186" w:rsidRPr="00AE0186" w14:paraId="32FD37DE" w14:textId="77777777" w:rsidTr="00A42221">
        <w:tc>
          <w:tcPr>
            <w:tcW w:w="946" w:type="dxa"/>
          </w:tcPr>
          <w:p w14:paraId="49C6A3EE"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WO</w:t>
            </w:r>
          </w:p>
        </w:tc>
        <w:tc>
          <w:tcPr>
            <w:tcW w:w="1981" w:type="dxa"/>
          </w:tcPr>
          <w:p w14:paraId="648BBFA5"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Wash out</w:t>
            </w:r>
          </w:p>
        </w:tc>
        <w:tc>
          <w:tcPr>
            <w:tcW w:w="6355" w:type="dxa"/>
          </w:tcPr>
          <w:p w14:paraId="60440324"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Maximum negative time derivative of </w:t>
            </w:r>
            <w:r w:rsidRPr="00AE0186">
              <w:rPr>
                <w:rFonts w:ascii="Times New Roman" w:eastAsia="Times New Roman" w:hAnsi="Times New Roman" w:cs="Times New Roman"/>
                <w:i/>
                <w:color w:val="000000"/>
                <w:sz w:val="22"/>
                <w:szCs w:val="22"/>
                <w:lang w:eastAsia="en-GB"/>
              </w:rPr>
              <w:t>S(t)</w:t>
            </w:r>
            <w:r w:rsidRPr="00AE0186">
              <w:rPr>
                <w:rFonts w:ascii="Times New Roman" w:eastAsia="Times New Roman" w:hAnsi="Times New Roman" w:cs="Times New Roman"/>
                <w:color w:val="000000"/>
                <w:sz w:val="22"/>
                <w:szCs w:val="22"/>
                <w:lang w:eastAsia="en-GB"/>
              </w:rPr>
              <w:t xml:space="preserve"> between </w:t>
            </w:r>
            <w:r w:rsidRPr="00AE0186">
              <w:rPr>
                <w:rFonts w:ascii="Times New Roman" w:eastAsia="Times New Roman" w:hAnsi="Times New Roman" w:cs="Times New Roman"/>
                <w:i/>
                <w:color w:val="000000"/>
                <w:sz w:val="22"/>
                <w:szCs w:val="22"/>
                <w:lang w:eastAsia="en-GB"/>
              </w:rPr>
              <w:t>TOP</w:t>
            </w:r>
            <w:r w:rsidRPr="00AE0186">
              <w:rPr>
                <w:rFonts w:ascii="Times New Roman" w:eastAsia="Times New Roman" w:hAnsi="Times New Roman" w:cs="Times New Roman"/>
                <w:color w:val="000000"/>
                <w:sz w:val="22"/>
                <w:szCs w:val="22"/>
                <w:lang w:eastAsia="en-GB"/>
              </w:rPr>
              <w:t xml:space="preserve"> and the last dynamic.</w:t>
            </w:r>
          </w:p>
          <w:p w14:paraId="2C3972FE"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hAnsi="Times New Roman" w:cs="Times New Roman"/>
                <w:sz w:val="22"/>
                <w:szCs w:val="22"/>
              </w:rPr>
              <w:t xml:space="preserve">Missing value if  &lt; 5 dynamics left after </w:t>
            </w:r>
            <w:r w:rsidRPr="00AE0186">
              <w:rPr>
                <w:rFonts w:ascii="Times New Roman" w:hAnsi="Times New Roman" w:cs="Times New Roman"/>
                <w:i/>
                <w:sz w:val="22"/>
                <w:szCs w:val="22"/>
              </w:rPr>
              <w:t>TOP</w:t>
            </w:r>
          </w:p>
        </w:tc>
      </w:tr>
      <w:tr w:rsidR="00AE0186" w:rsidRPr="00AE0186" w14:paraId="35407B43" w14:textId="77777777" w:rsidTr="00A42221">
        <w:tc>
          <w:tcPr>
            <w:tcW w:w="946" w:type="dxa"/>
          </w:tcPr>
          <w:p w14:paraId="3754FEF7"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BE</w:t>
            </w:r>
          </w:p>
        </w:tc>
        <w:tc>
          <w:tcPr>
            <w:tcW w:w="1981" w:type="dxa"/>
          </w:tcPr>
          <w:p w14:paraId="52C60FDD"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Brevity of enhancement</w:t>
            </w:r>
          </w:p>
        </w:tc>
        <w:tc>
          <w:tcPr>
            <w:tcW w:w="6355" w:type="dxa"/>
          </w:tcPr>
          <w:p w14:paraId="135B6BBA"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Time between the time points of </w:t>
            </w:r>
            <w:r w:rsidRPr="00AE0186">
              <w:rPr>
                <w:rFonts w:ascii="Times New Roman" w:eastAsia="Times New Roman" w:hAnsi="Times New Roman" w:cs="Times New Roman"/>
                <w:i/>
                <w:color w:val="000000"/>
                <w:sz w:val="22"/>
                <w:szCs w:val="22"/>
                <w:lang w:eastAsia="en-GB"/>
              </w:rPr>
              <w:t>WI</w:t>
            </w:r>
            <w:r w:rsidRPr="00AE0186">
              <w:rPr>
                <w:rFonts w:ascii="Times New Roman" w:eastAsia="Times New Roman" w:hAnsi="Times New Roman" w:cs="Times New Roman"/>
                <w:color w:val="000000"/>
                <w:sz w:val="22"/>
                <w:szCs w:val="22"/>
                <w:lang w:eastAsia="en-GB"/>
              </w:rPr>
              <w:t xml:space="preserve"> and </w:t>
            </w:r>
            <w:r w:rsidRPr="00AE0186">
              <w:rPr>
                <w:rFonts w:ascii="Times New Roman" w:eastAsia="Times New Roman" w:hAnsi="Times New Roman" w:cs="Times New Roman"/>
                <w:i/>
                <w:color w:val="000000"/>
                <w:sz w:val="22"/>
                <w:szCs w:val="22"/>
                <w:lang w:eastAsia="en-GB"/>
              </w:rPr>
              <w:t>WO</w:t>
            </w:r>
          </w:p>
        </w:tc>
      </w:tr>
      <w:tr w:rsidR="00AE0186" w:rsidRPr="00AE0186" w14:paraId="1E9BB8E2" w14:textId="77777777" w:rsidTr="00A42221">
        <w:tc>
          <w:tcPr>
            <w:tcW w:w="946" w:type="dxa"/>
          </w:tcPr>
          <w:p w14:paraId="05C59821"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IS</w:t>
            </w:r>
          </w:p>
        </w:tc>
        <w:tc>
          <w:tcPr>
            <w:tcW w:w="1981" w:type="dxa"/>
          </w:tcPr>
          <w:p w14:paraId="0869D4DA"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Initial slope</w:t>
            </w:r>
          </w:p>
        </w:tc>
        <w:tc>
          <w:tcPr>
            <w:tcW w:w="6355" w:type="dxa"/>
          </w:tcPr>
          <w:p w14:paraId="5F175EC6"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Average rate of signal enhancement between </w:t>
            </w:r>
            <w:r w:rsidRPr="00AE0186">
              <w:rPr>
                <w:rFonts w:ascii="Times New Roman" w:eastAsia="Times New Roman" w:hAnsi="Times New Roman" w:cs="Times New Roman"/>
                <w:i/>
                <w:color w:val="000000"/>
                <w:sz w:val="22"/>
                <w:szCs w:val="22"/>
                <w:lang w:eastAsia="en-GB"/>
              </w:rPr>
              <w:t>TOP</w:t>
            </w:r>
            <w:r w:rsidRPr="00AE0186">
              <w:rPr>
                <w:rFonts w:ascii="Times New Roman" w:eastAsia="Times New Roman" w:hAnsi="Times New Roman" w:cs="Times New Roman"/>
                <w:color w:val="000000"/>
                <w:sz w:val="22"/>
                <w:szCs w:val="22"/>
                <w:lang w:eastAsia="en-GB"/>
              </w:rPr>
              <w:t xml:space="preserve"> and contrast injection: </w:t>
            </w:r>
            <w:r w:rsidRPr="00AE0186">
              <w:rPr>
                <w:rFonts w:ascii="Times New Roman" w:eastAsia="Times New Roman" w:hAnsi="Times New Roman" w:cs="Times New Roman"/>
                <w:i/>
                <w:color w:val="000000"/>
                <w:sz w:val="22"/>
                <w:szCs w:val="22"/>
                <w:lang w:eastAsia="en-GB"/>
              </w:rPr>
              <w:t>(S</w:t>
            </w:r>
            <w:r w:rsidRPr="00AE0186">
              <w:rPr>
                <w:rFonts w:ascii="Times New Roman" w:eastAsia="Times New Roman" w:hAnsi="Times New Roman" w:cs="Times New Roman"/>
                <w:i/>
                <w:color w:val="000000"/>
                <w:sz w:val="22"/>
                <w:szCs w:val="22"/>
                <w:vertAlign w:val="subscript"/>
                <w:lang w:eastAsia="en-GB"/>
              </w:rPr>
              <w:t>max</w:t>
            </w:r>
            <w:r w:rsidRPr="00AE0186">
              <w:rPr>
                <w:rFonts w:ascii="Times New Roman" w:eastAsia="Times New Roman" w:hAnsi="Times New Roman" w:cs="Times New Roman"/>
                <w:i/>
                <w:color w:val="000000"/>
                <w:sz w:val="22"/>
                <w:szCs w:val="22"/>
                <w:lang w:eastAsia="en-GB"/>
              </w:rPr>
              <w:t xml:space="preserve"> - S</w:t>
            </w:r>
            <w:r w:rsidRPr="00AE0186">
              <w:rPr>
                <w:rFonts w:ascii="Times New Roman" w:eastAsia="Times New Roman" w:hAnsi="Times New Roman" w:cs="Times New Roman"/>
                <w:i/>
                <w:color w:val="000000"/>
                <w:sz w:val="22"/>
                <w:szCs w:val="22"/>
                <w:vertAlign w:val="subscript"/>
                <w:lang w:eastAsia="en-GB"/>
              </w:rPr>
              <w:t>0</w:t>
            </w:r>
            <w:r w:rsidRPr="00AE0186">
              <w:rPr>
                <w:rFonts w:ascii="Times New Roman" w:eastAsia="Times New Roman" w:hAnsi="Times New Roman" w:cs="Times New Roman"/>
                <w:i/>
                <w:color w:val="000000"/>
                <w:sz w:val="22"/>
                <w:szCs w:val="22"/>
                <w:lang w:eastAsia="en-GB"/>
              </w:rPr>
              <w:t>) / TOP</w:t>
            </w:r>
            <w:r w:rsidRPr="00AE0186">
              <w:rPr>
                <w:rFonts w:ascii="Times New Roman" w:eastAsia="Times New Roman" w:hAnsi="Times New Roman" w:cs="Times New Roman"/>
                <w:b/>
                <w:bCs/>
                <w:color w:val="000000"/>
                <w:sz w:val="22"/>
                <w:szCs w:val="22"/>
                <w:lang w:eastAsia="en-GB"/>
              </w:rPr>
              <w:t xml:space="preserve"> </w:t>
            </w:r>
          </w:p>
        </w:tc>
      </w:tr>
      <w:tr w:rsidR="00AE0186" w:rsidRPr="00AE0186" w14:paraId="486C6303" w14:textId="77777777" w:rsidTr="00A42221">
        <w:tc>
          <w:tcPr>
            <w:tcW w:w="946" w:type="dxa"/>
          </w:tcPr>
          <w:p w14:paraId="57107F9B" w14:textId="77777777" w:rsidR="00AE0186" w:rsidRPr="00AE0186" w:rsidRDefault="00AE0186" w:rsidP="00A42221">
            <w:pPr>
              <w:spacing w:after="80" w:line="240" w:lineRule="auto"/>
              <w:rPr>
                <w:rFonts w:ascii="Times New Roman" w:eastAsia="Times New Roman" w:hAnsi="Times New Roman" w:cs="Times New Roman"/>
                <w:i/>
                <w:color w:val="000000"/>
                <w:sz w:val="22"/>
                <w:szCs w:val="22"/>
                <w:lang w:eastAsia="en-GB"/>
              </w:rPr>
            </w:pPr>
            <w:r w:rsidRPr="00AE0186">
              <w:rPr>
                <w:rFonts w:ascii="Times New Roman" w:eastAsia="Times New Roman" w:hAnsi="Times New Roman" w:cs="Times New Roman"/>
                <w:i/>
                <w:color w:val="000000"/>
                <w:sz w:val="22"/>
                <w:szCs w:val="22"/>
                <w:lang w:eastAsia="en-GB"/>
              </w:rPr>
              <w:t>NS</w:t>
            </w:r>
          </w:p>
        </w:tc>
        <w:tc>
          <w:tcPr>
            <w:tcW w:w="1981" w:type="dxa"/>
          </w:tcPr>
          <w:p w14:paraId="2EFC3E6B"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Negative slope</w:t>
            </w:r>
          </w:p>
        </w:tc>
        <w:tc>
          <w:tcPr>
            <w:tcW w:w="6355" w:type="dxa"/>
          </w:tcPr>
          <w:p w14:paraId="1DF351EF"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eastAsia="Times New Roman" w:hAnsi="Times New Roman" w:cs="Times New Roman"/>
                <w:color w:val="000000"/>
                <w:sz w:val="22"/>
                <w:szCs w:val="22"/>
                <w:lang w:eastAsia="en-GB"/>
              </w:rPr>
              <w:t xml:space="preserve">Average rate of signal decrease between </w:t>
            </w:r>
            <w:r w:rsidRPr="00AE0186">
              <w:rPr>
                <w:rFonts w:ascii="Times New Roman" w:eastAsia="Times New Roman" w:hAnsi="Times New Roman" w:cs="Times New Roman"/>
                <w:i/>
                <w:color w:val="000000"/>
                <w:sz w:val="22"/>
                <w:szCs w:val="22"/>
                <w:lang w:eastAsia="en-GB"/>
              </w:rPr>
              <w:t>TOP</w:t>
            </w:r>
            <w:r w:rsidRPr="00AE0186">
              <w:rPr>
                <w:rFonts w:ascii="Times New Roman" w:eastAsia="Times New Roman" w:hAnsi="Times New Roman" w:cs="Times New Roman"/>
                <w:color w:val="000000"/>
                <w:sz w:val="22"/>
                <w:szCs w:val="22"/>
                <w:lang w:eastAsia="en-GB"/>
              </w:rPr>
              <w:t xml:space="preserve"> and the last dynamic.</w:t>
            </w:r>
          </w:p>
          <w:p w14:paraId="1A9B071B" w14:textId="77777777" w:rsidR="00AE0186" w:rsidRPr="00AE0186" w:rsidRDefault="00AE0186" w:rsidP="00A42221">
            <w:pPr>
              <w:spacing w:after="80" w:line="240" w:lineRule="auto"/>
              <w:rPr>
                <w:rFonts w:ascii="Times New Roman" w:eastAsia="Times New Roman" w:hAnsi="Times New Roman" w:cs="Times New Roman"/>
                <w:color w:val="000000"/>
                <w:sz w:val="22"/>
                <w:szCs w:val="22"/>
                <w:lang w:eastAsia="en-GB"/>
              </w:rPr>
            </w:pPr>
            <w:r w:rsidRPr="00AE0186">
              <w:rPr>
                <w:rFonts w:ascii="Times New Roman" w:hAnsi="Times New Roman" w:cs="Times New Roman"/>
                <w:sz w:val="22"/>
                <w:szCs w:val="22"/>
              </w:rPr>
              <w:t xml:space="preserve">Missing value if &lt; 5 dynamics left after </w:t>
            </w:r>
            <w:r w:rsidRPr="00AE0186">
              <w:rPr>
                <w:rFonts w:ascii="Times New Roman" w:hAnsi="Times New Roman" w:cs="Times New Roman"/>
                <w:i/>
                <w:sz w:val="22"/>
                <w:szCs w:val="22"/>
              </w:rPr>
              <w:t>TOP</w:t>
            </w:r>
          </w:p>
        </w:tc>
      </w:tr>
    </w:tbl>
    <w:p w14:paraId="011F3985" w14:textId="77777777" w:rsidR="00AE0186" w:rsidRPr="00AE0186" w:rsidRDefault="00AE0186" w:rsidP="00AE0186">
      <w:pPr>
        <w:rPr>
          <w:rFonts w:ascii="Times New Roman" w:hAnsi="Times New Roman" w:cs="Times New Roman"/>
          <w:b/>
        </w:rPr>
      </w:pPr>
    </w:p>
    <w:p w14:paraId="25EE451C" w14:textId="77777777" w:rsidR="00AE0186" w:rsidRPr="00AE0186" w:rsidRDefault="00AE0186" w:rsidP="00AE0186">
      <w:pPr>
        <w:rPr>
          <w:rFonts w:ascii="Times New Roman" w:hAnsi="Times New Roman" w:cs="Times New Roman"/>
        </w:rPr>
      </w:pPr>
    </w:p>
    <w:p w14:paraId="40DE19F1" w14:textId="163E36A7" w:rsidR="00AE0186" w:rsidRDefault="002F7CA1" w:rsidP="00A61D81">
      <w:pPr>
        <w:pStyle w:val="Rubrik1"/>
        <w:rPr>
          <w:rFonts w:ascii="Times New Roman" w:hAnsi="Times New Roman" w:cs="Times New Roman"/>
        </w:rPr>
      </w:pPr>
      <w:r>
        <w:rPr>
          <w:rFonts w:ascii="Times New Roman" w:hAnsi="Times New Roman" w:cs="Times New Roman"/>
        </w:rPr>
        <w:t>Figure</w:t>
      </w:r>
      <w:r w:rsidR="001A2F91">
        <w:rPr>
          <w:rFonts w:ascii="Times New Roman" w:hAnsi="Times New Roman" w:cs="Times New Roman"/>
        </w:rPr>
        <w:t>s and</w:t>
      </w:r>
      <w:r w:rsidR="00A61D81">
        <w:rPr>
          <w:rFonts w:ascii="Times New Roman" w:hAnsi="Times New Roman" w:cs="Times New Roman"/>
        </w:rPr>
        <w:t xml:space="preserve"> </w:t>
      </w:r>
      <w:r>
        <w:rPr>
          <w:rFonts w:ascii="Times New Roman" w:hAnsi="Times New Roman" w:cs="Times New Roman"/>
        </w:rPr>
        <w:t xml:space="preserve">captions </w:t>
      </w:r>
    </w:p>
    <w:p w14:paraId="2C6A7097" w14:textId="77777777" w:rsidR="002F7CA1" w:rsidRPr="002F7CA1" w:rsidRDefault="002F7CA1" w:rsidP="002F7CA1"/>
    <w:p w14:paraId="42721A16" w14:textId="5EB4E7F7" w:rsidR="001A2F91" w:rsidRDefault="001A2F91" w:rsidP="002F7CA1">
      <w:pPr>
        <w:pStyle w:val="Beskrivning"/>
      </w:pPr>
      <w:bookmarkStart w:id="3" w:name="_GoBack"/>
      <w:r>
        <w:lastRenderedPageBreak/>
        <w:pict w14:anchorId="02DEA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13.75pt">
            <v:imagedata r:id="rId8" o:title="Fig1 submitted"/>
          </v:shape>
        </w:pict>
      </w:r>
      <w:bookmarkEnd w:id="3"/>
    </w:p>
    <w:p w14:paraId="1524F30A" w14:textId="6BC367CD"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1</w:t>
      </w:r>
      <w:r w:rsidRPr="00A309B8">
        <w:fldChar w:fldCharType="end"/>
      </w:r>
      <w:r w:rsidRPr="00A309B8">
        <w:t>. The process of achieving digital histology images for alignment with the corresponding MR parameter maps. a) The dead animal is positioned for incision through skin and tumour, with scalpel cutting adjacent and parallel to the imaged tumour plane. b) Colour coding of the imaged tumour plane by tissue ink injections on the left, right and dorsal tumour borders. c) Digital photography of the divided and colour coded tumour, with indications of where the ink is visible. The plane of the surface facing the camera will be parallel to the microtome knife sweep plane. d) Glass microscopy slides with differently stained parallel sections are digitized using a slide scanner. e) The ink, preserved through the preparation and paraffin embedding procedure, is visible on the magnified portions of the digitized HE stained section, and can be used to recover the orientation of the histological sections for alignment with the MR images</w:t>
      </w:r>
    </w:p>
    <w:p w14:paraId="458C7696" w14:textId="21C2902E" w:rsidR="002F7CA1" w:rsidRPr="00A309B8" w:rsidRDefault="002F7CA1" w:rsidP="002F7CA1">
      <w:pPr>
        <w:keepNext/>
      </w:pPr>
    </w:p>
    <w:p w14:paraId="29747E20" w14:textId="43AB63BE" w:rsidR="001A2F91" w:rsidRDefault="001A2F91" w:rsidP="002F7CA1">
      <w:pPr>
        <w:pStyle w:val="Beskrivning"/>
      </w:pPr>
      <w:r>
        <w:rPr>
          <w:noProof/>
          <w:lang w:val="sv-SE" w:eastAsia="sv-SE"/>
        </w:rPr>
        <w:drawing>
          <wp:inline distT="0" distB="0" distL="0" distR="0" wp14:anchorId="702E7687" wp14:editId="0CBC5DCD">
            <wp:extent cx="4834393" cy="2812665"/>
            <wp:effectExtent l="0" t="0" r="4445" b="6985"/>
            <wp:docPr id="2" name="Bildobjekt 2" descr="C:\Users\Mikael Montelius\AppData\Local\Microsoft\Windows\INetCache\Content.Word\Fig2 submit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el Montelius\AppData\Local\Microsoft\Windows\INetCache\Content.Word\Fig2 submitte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741" cy="2832067"/>
                    </a:xfrm>
                    <a:prstGeom prst="rect">
                      <a:avLst/>
                    </a:prstGeom>
                    <a:noFill/>
                    <a:ln>
                      <a:noFill/>
                    </a:ln>
                  </pic:spPr>
                </pic:pic>
              </a:graphicData>
            </a:graphic>
          </wp:inline>
        </w:drawing>
      </w:r>
    </w:p>
    <w:p w14:paraId="38AE3BEC" w14:textId="4FB9E434"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2</w:t>
      </w:r>
      <w:r w:rsidRPr="00A309B8">
        <w:fldChar w:fldCharType="end"/>
      </w:r>
      <w:r w:rsidRPr="00A309B8">
        <w:t>. Histological images [(a-d): HE, Ki67, CD31, MT] and MR images/parametric maps [(e-h): IVIMDWI of b = 600 s/mm</w:t>
      </w:r>
      <w:r w:rsidRPr="00A309B8">
        <w:rPr>
          <w:vertAlign w:val="superscript"/>
        </w:rPr>
        <w:t>2</w:t>
      </w:r>
      <w:r w:rsidRPr="00A309B8">
        <w:t>, T1 map, T2* map, T2 weighted image] of tumour 2. The sequential image registration and data sampling procedure is as follows: 1) a tumour sub-region (blue delineation on (a-h)) is intermutually registered on the histological images, 2) the MR parameter maps of the same region are registered to the T2-weighted image (h), 3) the final transformation linking all images to each other is established by registering a histological image also to the T2-weighted image, and 4) a data sampling algorithm systematically extracts data from the entire registered region, before the next tumour sub-region is manually registered for sampling. The yellow rectangle in (a-h) shows the position of a first 250 × 250 µm</w:t>
      </w:r>
      <w:r w:rsidRPr="00A309B8">
        <w:rPr>
          <w:vertAlign w:val="superscript"/>
        </w:rPr>
        <w:t>2</w:t>
      </w:r>
      <w:r w:rsidRPr="00A309B8">
        <w:t xml:space="preserve"> sample in a registered tumour sub-region. The average MR parameter values in the sample region are extracted from each parameter map, and the histological indices are calculated for the same position. The next sample is then taken adjacent to the first position, and the procedure is repeated until the entire registered region has been sampled. Enlargements of the sample position shown in (a-d) are shown in (i-l). Enlargements were used to validate proper registration based on the tissue </w:t>
      </w:r>
      <w:r w:rsidRPr="00A309B8">
        <w:lastRenderedPageBreak/>
        <w:t>microscopic landmarks (e.g. region with low cell density on (i-l)), as well as to reject samples where the magnification revealed histological artefacts, such as cracks or folds. Bars in (a) and (j) indicate 1.0 and 0.1 mm, respectively</w:t>
      </w:r>
    </w:p>
    <w:p w14:paraId="0F3DA800" w14:textId="18181D73" w:rsidR="002F7CA1" w:rsidRPr="00A309B8" w:rsidRDefault="001A2F91" w:rsidP="002F7CA1">
      <w:pPr>
        <w:keepNext/>
      </w:pPr>
      <w:r>
        <w:rPr>
          <w:noProof/>
          <w:lang w:val="sv-SE" w:eastAsia="sv-SE"/>
        </w:rPr>
        <w:drawing>
          <wp:inline distT="0" distB="0" distL="0" distR="0" wp14:anchorId="4021ED95" wp14:editId="40AC0B24">
            <wp:extent cx="4564049" cy="3808341"/>
            <wp:effectExtent l="0" t="0" r="8255" b="1905"/>
            <wp:docPr id="1" name="Bildobjekt 1" descr="C:\Users\Mikael Montelius\AppData\Local\Microsoft\Windows\INetCache\Content.Word\Fig3 submit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el Montelius\AppData\Local\Microsoft\Windows\INetCache\Content.Word\Fig3 submitt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193" cy="3810130"/>
                    </a:xfrm>
                    <a:prstGeom prst="rect">
                      <a:avLst/>
                    </a:prstGeom>
                    <a:noFill/>
                    <a:ln>
                      <a:noFill/>
                    </a:ln>
                  </pic:spPr>
                </pic:pic>
              </a:graphicData>
            </a:graphic>
          </wp:inline>
        </w:drawing>
      </w:r>
    </w:p>
    <w:p w14:paraId="4B62C49E" w14:textId="77777777"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3</w:t>
      </w:r>
      <w:r w:rsidRPr="00A309B8">
        <w:fldChar w:fldCharType="end"/>
      </w:r>
      <w:r w:rsidRPr="00A309B8">
        <w:t>. Tissue segmentation and calculation of histological indices. (a) HE stained histological section of tumour 4 with corresponding heat maps (k) of HEcount, Ki67count, MVD and FD. The orange square in (a) is magnified in (b), showing apoptotic regions (densely packed, dark stained nuclei of apoptotic cells, indicated by a yellow arrow), necrotic tissue (red arrow) and viable tumour, as verified by the corresponding Ki67 magnification (brown stained cells in (e)). The region in the blue rectangle in (b) is magnified in (c), where haematoxylin positive (dark purple) nuclear fragments of pyknotic (apoptotic) cells are visible. Another region of the same tumour, but stained with MT, is magnified in (g), with a black arrow indicating fibrotic tissue. The corresponding region stained with CD31 (i) reveals formations of blood vessels by the presence of endothelial cells (brown regions indicated with a green arrow). The right panel of the Figure (d, f, h, j) shows the results from the segmentation used for index calculations, resulting in indices: HEcount = 395, Ki67count = 136, FD = 12.3 % and MVD = 0.7 % in b, f, h and j, respectively. Bars in (a, c, i) indicate 1.0, 0.01 and 0.1 mm, respectively</w:t>
      </w:r>
    </w:p>
    <w:p w14:paraId="271DB937" w14:textId="1E512969" w:rsidR="002F7CA1" w:rsidRPr="00A309B8" w:rsidRDefault="001A2F91" w:rsidP="002F7CA1">
      <w:pPr>
        <w:keepNext/>
      </w:pPr>
      <w:r>
        <w:rPr>
          <w:noProof/>
          <w:lang w:val="sv-SE" w:eastAsia="sv-SE"/>
        </w:rPr>
        <w:lastRenderedPageBreak/>
        <w:drawing>
          <wp:inline distT="0" distB="0" distL="0" distR="0" wp14:anchorId="211E4080" wp14:editId="5A433E1C">
            <wp:extent cx="5510254" cy="2958009"/>
            <wp:effectExtent l="0" t="0" r="0" b="0"/>
            <wp:docPr id="3" name="Bildobjekt 3" descr="C:\Users\Mikael Montelius\AppData\Local\Microsoft\Windows\INetCache\Content.Word\Figure 4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el Montelius\AppData\Local\Microsoft\Windows\INetCache\Content.Word\Figure 4 new.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9202" cy="2962812"/>
                    </a:xfrm>
                    <a:prstGeom prst="rect">
                      <a:avLst/>
                    </a:prstGeom>
                    <a:noFill/>
                    <a:ln>
                      <a:noFill/>
                    </a:ln>
                  </pic:spPr>
                </pic:pic>
              </a:graphicData>
            </a:graphic>
          </wp:inline>
        </w:drawing>
      </w:r>
    </w:p>
    <w:p w14:paraId="3A574853" w14:textId="77777777"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4</w:t>
      </w:r>
      <w:r w:rsidRPr="00A309B8">
        <w:fldChar w:fldCharType="end"/>
      </w:r>
      <w:r w:rsidRPr="00A309B8">
        <w:t>. Distribution of histological indices within each tumour (x-axis) for the four evaluated stains. By visual inspection, the variation of histological indices within tumours appears greater than the variation between tumours, except for, e.g., MVD in tumour 4 and Ki67count in tumour 4 and 5. The indices of tumour 2 (harvested day 1 after therapy) show a distribution similar to the other tumours. Note the logarithmic scale for improved visualisation of MVD and FD indices. The number of indices in the HEcount boxplots for tumour 1-5 are n = 209, 0, 222, 247, and 117, respectively. The corresponding numbers for Ki67count are: 210, 997, 222, 247 and 128; MVD: 213, 997, 222, 247 and 127; FD: 212, 996, 222, 247 and 125. The dot represents the median value, box edges represent 25</w:t>
      </w:r>
      <w:r w:rsidRPr="00A309B8">
        <w:rPr>
          <w:vertAlign w:val="superscript"/>
        </w:rPr>
        <w:t>th</w:t>
      </w:r>
      <w:r w:rsidRPr="00A309B8">
        <w:t xml:space="preserve"> and 75</w:t>
      </w:r>
      <w:r w:rsidRPr="00A309B8">
        <w:rPr>
          <w:vertAlign w:val="superscript"/>
        </w:rPr>
        <w:t>th</w:t>
      </w:r>
      <w:r w:rsidRPr="00A309B8">
        <w:t xml:space="preserve"> percentiles and whiskers represent 2.5</w:t>
      </w:r>
      <w:r w:rsidRPr="00A309B8">
        <w:rPr>
          <w:vertAlign w:val="superscript"/>
        </w:rPr>
        <w:t>th</w:t>
      </w:r>
      <w:r w:rsidRPr="00A309B8">
        <w:t xml:space="preserve"> and 97.5</w:t>
      </w:r>
      <w:r w:rsidRPr="00A309B8">
        <w:rPr>
          <w:vertAlign w:val="superscript"/>
        </w:rPr>
        <w:t>th</w:t>
      </w:r>
      <w:r w:rsidRPr="00A309B8">
        <w:t xml:space="preserve"> percentiles</w:t>
      </w:r>
    </w:p>
    <w:p w14:paraId="417E6DB8" w14:textId="77777777" w:rsidR="002F7CA1" w:rsidRPr="00A309B8" w:rsidRDefault="002F7CA1" w:rsidP="002F7CA1">
      <w:pPr>
        <w:keepNext/>
      </w:pPr>
    </w:p>
    <w:p w14:paraId="4BF15AAB" w14:textId="77777777" w:rsidR="001A2F91" w:rsidRDefault="001A2F91" w:rsidP="002F7CA1">
      <w:pPr>
        <w:pStyle w:val="Beskrivning"/>
      </w:pPr>
      <w:r>
        <w:rPr>
          <w:noProof/>
          <w:lang w:val="sv-SE" w:eastAsia="sv-SE"/>
        </w:rPr>
        <w:drawing>
          <wp:inline distT="0" distB="0" distL="0" distR="0" wp14:anchorId="2AAE58BE" wp14:editId="69DBFFC9">
            <wp:extent cx="4015409" cy="2299462"/>
            <wp:effectExtent l="0" t="0" r="4445" b="5715"/>
            <wp:docPr id="4" name="Bildobjekt 4" descr="C:\Users\Mikael Montelius\AppData\Local\Microsoft\Windows\INetCache\Content.Word\Fig5 submit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ael Montelius\AppData\Local\Microsoft\Windows\INetCache\Content.Word\Fig5 submitte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6113" cy="2305592"/>
                    </a:xfrm>
                    <a:prstGeom prst="rect">
                      <a:avLst/>
                    </a:prstGeom>
                    <a:noFill/>
                    <a:ln>
                      <a:noFill/>
                    </a:ln>
                  </pic:spPr>
                </pic:pic>
              </a:graphicData>
            </a:graphic>
          </wp:inline>
        </w:drawing>
      </w:r>
    </w:p>
    <w:p w14:paraId="2A441652" w14:textId="1084A66D"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5</w:t>
      </w:r>
      <w:r w:rsidRPr="00A309B8">
        <w:fldChar w:fldCharType="end"/>
      </w:r>
      <w:r w:rsidRPr="00A309B8">
        <w:t>. Predictive power of pairwise correlations for individual animals. The predictive power, defined as the mean squared error of 5-fold cross validation normalised to the squared mean of the histological index, of models constructed from pairwise simple linear regression of MR parameters and histological indices. Data from each investigated tumour (animal) is shown separately</w:t>
      </w:r>
    </w:p>
    <w:p w14:paraId="1118FF8A" w14:textId="77777777" w:rsidR="002F7CA1" w:rsidRPr="00A309B8" w:rsidRDefault="002F7CA1" w:rsidP="002F7CA1">
      <w:pPr>
        <w:keepNext/>
      </w:pPr>
    </w:p>
    <w:p w14:paraId="247B99B6" w14:textId="227D438C" w:rsidR="001A2F91" w:rsidRDefault="001A2F91" w:rsidP="002F7CA1">
      <w:pPr>
        <w:pStyle w:val="Beskrivning"/>
      </w:pPr>
      <w:r>
        <w:pict w14:anchorId="76A359A0">
          <v:shape id="_x0000_i1044" type="#_x0000_t75" style="width:395.25pt;height:304.5pt">
            <v:imagedata r:id="rId13" o:title="Fig6 submitted"/>
          </v:shape>
        </w:pict>
      </w:r>
    </w:p>
    <w:p w14:paraId="07100A02" w14:textId="5EBC1440"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6</w:t>
      </w:r>
      <w:r w:rsidRPr="00A309B8">
        <w:fldChar w:fldCharType="end"/>
      </w:r>
      <w:r w:rsidRPr="00A309B8">
        <w:t>. Regression coefficients and p-values for correlations found by the linear mixed-effects model. The relation between MR parameters and histological indices, determined for the combined data from all tumour samples (n = 1821) is shown by the regression coefficient (upper plot). The corresponding p-value is shown in the lower plot, where the vertical dashed line indicates the p = 0.05 level after adjustment for multiple comparisons. The p-value for IS vs. Ki67count was 1.5e-23. Note that interpretation of D* correlations should be avoided due to poor quality of data</w:t>
      </w:r>
    </w:p>
    <w:p w14:paraId="0D5C9D09" w14:textId="77777777" w:rsidR="002F7CA1" w:rsidRPr="00A309B8" w:rsidRDefault="002F7CA1" w:rsidP="002F7CA1">
      <w:pPr>
        <w:keepNext/>
      </w:pPr>
    </w:p>
    <w:p w14:paraId="4B8457ED" w14:textId="77777777" w:rsidR="001A2F91" w:rsidRDefault="001A2F91" w:rsidP="002F7CA1">
      <w:pPr>
        <w:pStyle w:val="Beskrivning"/>
      </w:pPr>
      <w:r>
        <w:rPr>
          <w:noProof/>
          <w:lang w:val="sv-SE" w:eastAsia="sv-SE"/>
        </w:rPr>
        <w:drawing>
          <wp:inline distT="0" distB="0" distL="0" distR="0" wp14:anchorId="7061D3BB" wp14:editId="47E44D7F">
            <wp:extent cx="4349364" cy="3635775"/>
            <wp:effectExtent l="0" t="0" r="0" b="3175"/>
            <wp:docPr id="5" name="Bildobjekt 5" descr="C:\Users\Mikael Montelius\AppData\Local\Microsoft\Windows\INetCache\Content.Word\Fig7 submit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kael Montelius\AppData\Local\Microsoft\Windows\INetCache\Content.Word\Fig7 submitte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0505" cy="3645088"/>
                    </a:xfrm>
                    <a:prstGeom prst="rect">
                      <a:avLst/>
                    </a:prstGeom>
                    <a:noFill/>
                    <a:ln>
                      <a:noFill/>
                    </a:ln>
                  </pic:spPr>
                </pic:pic>
              </a:graphicData>
            </a:graphic>
          </wp:inline>
        </w:drawing>
      </w:r>
    </w:p>
    <w:p w14:paraId="35011F7D" w14:textId="10F2D46B" w:rsidR="002F7CA1" w:rsidRPr="00A309B8" w:rsidRDefault="002F7CA1" w:rsidP="002F7CA1">
      <w:pPr>
        <w:pStyle w:val="Beskrivning"/>
      </w:pPr>
      <w:r w:rsidRPr="00A309B8">
        <w:t xml:space="preserve">Figure </w:t>
      </w:r>
      <w:r w:rsidRPr="00A309B8">
        <w:fldChar w:fldCharType="begin"/>
      </w:r>
      <w:r w:rsidRPr="00A309B8">
        <w:instrText xml:space="preserve"> SEQ Figure \* ARABIC </w:instrText>
      </w:r>
      <w:r w:rsidRPr="00A309B8">
        <w:fldChar w:fldCharType="separate"/>
      </w:r>
      <w:r w:rsidRPr="00A309B8">
        <w:rPr>
          <w:noProof/>
        </w:rPr>
        <w:t>7</w:t>
      </w:r>
      <w:r w:rsidRPr="00A309B8">
        <w:fldChar w:fldCharType="end"/>
      </w:r>
      <w:r w:rsidRPr="00A309B8">
        <w:t>. Dendrogram of the cluster analysis of the histological indices (upper), and MR derived parameters (lower)</w:t>
      </w:r>
    </w:p>
    <w:p w14:paraId="0721C140" w14:textId="77777777" w:rsidR="002F7CA1" w:rsidRPr="00A309B8" w:rsidRDefault="002F7CA1" w:rsidP="002F7CA1">
      <w:pPr>
        <w:keepNext/>
      </w:pPr>
    </w:p>
    <w:p w14:paraId="164C8A52" w14:textId="77777777" w:rsidR="001A2F91" w:rsidRDefault="001A2F91" w:rsidP="002F7CA1">
      <w:pPr>
        <w:pStyle w:val="Beskrivning"/>
      </w:pPr>
      <w:r>
        <w:rPr>
          <w:noProof/>
          <w:lang w:val="sv-SE" w:eastAsia="sv-SE"/>
        </w:rPr>
        <w:drawing>
          <wp:inline distT="0" distB="0" distL="0" distR="0" wp14:anchorId="4ECBD972" wp14:editId="05B19DE7">
            <wp:extent cx="5597719" cy="2979562"/>
            <wp:effectExtent l="0" t="0" r="3175" b="0"/>
            <wp:docPr id="6" name="Bildobjekt 6" descr="C:\Users\Mikael Montelius\AppData\Local\Microsoft\Windows\INetCache\Content.Word\Supplemental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kael Montelius\AppData\Local\Microsoft\Windows\INetCache\Content.Word\Supplemental figur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213" cy="2984615"/>
                    </a:xfrm>
                    <a:prstGeom prst="rect">
                      <a:avLst/>
                    </a:prstGeom>
                    <a:noFill/>
                    <a:ln>
                      <a:noFill/>
                    </a:ln>
                  </pic:spPr>
                </pic:pic>
              </a:graphicData>
            </a:graphic>
          </wp:inline>
        </w:drawing>
      </w:r>
    </w:p>
    <w:p w14:paraId="34FF68A0" w14:textId="52049ECA" w:rsidR="002F7CA1" w:rsidRPr="00A61D81" w:rsidRDefault="002F7CA1" w:rsidP="002F7CA1">
      <w:pPr>
        <w:pStyle w:val="Beskrivning"/>
      </w:pPr>
      <w:r w:rsidRPr="00A309B8">
        <w:t xml:space="preserve">Supplemental </w:t>
      </w:r>
      <w:r w:rsidRPr="00A309B8">
        <w:fldChar w:fldCharType="begin"/>
      </w:r>
      <w:r w:rsidRPr="00A309B8">
        <w:instrText xml:space="preserve"> SEQ Supplemental \* ARABIC </w:instrText>
      </w:r>
      <w:r w:rsidRPr="00A309B8">
        <w:fldChar w:fldCharType="separate"/>
      </w:r>
      <w:r w:rsidRPr="00A309B8">
        <w:rPr>
          <w:noProof/>
        </w:rPr>
        <w:t>1</w:t>
      </w:r>
      <w:r w:rsidRPr="00A309B8">
        <w:fldChar w:fldCharType="end"/>
      </w:r>
      <w:r w:rsidRPr="00A309B8">
        <w:t xml:space="preserve">. Total amount of samples (n) underlying the correlations from the </w:t>
      </w:r>
      <w:r w:rsidRPr="00A309B8">
        <w:rPr>
          <w:rFonts w:ascii="Times New Roman" w:hAnsi="Times New Roman" w:cs="Times New Roman"/>
        </w:rPr>
        <w:t>mixed-effects regression analysis</w:t>
      </w:r>
      <w:r w:rsidRPr="00A309B8">
        <w:t>, and the distribution of samples over tumours (y-axis). Sample numbers for the tumour extracted day 1 (tumour 2) is shown in blue in the left column, separated from the other tumours, which are stacked in the right column. Note that HEcount could not be extracted from tumour 2</w:t>
      </w:r>
    </w:p>
    <w:p w14:paraId="05EAA0BC" w14:textId="77777777" w:rsidR="002F7CA1" w:rsidRPr="002F7CA1" w:rsidRDefault="002F7CA1" w:rsidP="002F7CA1"/>
    <w:sectPr w:rsidR="002F7CA1" w:rsidRPr="002F7CA1" w:rsidSect="00AE018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6E2F7" w14:textId="77777777" w:rsidR="00247771" w:rsidRDefault="00247771" w:rsidP="00AE0186">
      <w:pPr>
        <w:spacing w:after="0" w:line="240" w:lineRule="auto"/>
      </w:pPr>
      <w:r>
        <w:separator/>
      </w:r>
    </w:p>
  </w:endnote>
  <w:endnote w:type="continuationSeparator" w:id="0">
    <w:p w14:paraId="35302C4E" w14:textId="77777777" w:rsidR="00247771" w:rsidRDefault="00247771" w:rsidP="00AE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B71CA" w14:textId="77777777" w:rsidR="00247771" w:rsidRDefault="00247771" w:rsidP="00AE0186">
      <w:pPr>
        <w:spacing w:after="0" w:line="240" w:lineRule="auto"/>
      </w:pPr>
      <w:r>
        <w:separator/>
      </w:r>
    </w:p>
  </w:footnote>
  <w:footnote w:type="continuationSeparator" w:id="0">
    <w:p w14:paraId="3E15FCFF" w14:textId="77777777" w:rsidR="00247771" w:rsidRDefault="00247771" w:rsidP="00AE0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A3AA2"/>
    <w:multiLevelType w:val="singleLevel"/>
    <w:tmpl w:val="E4843840"/>
    <w:lvl w:ilvl="0">
      <w:start w:val="1"/>
      <w:numFmt w:val="decimal"/>
      <w:lvlText w:val="%1."/>
      <w:legacy w:legacy="1" w:legacySpace="0" w:legacyIndent="360"/>
      <w:lvlJc w:val="left"/>
      <w:pPr>
        <w:ind w:left="360" w:hanging="360"/>
      </w:pPr>
      <w:rPr>
        <w:i w:val="0"/>
        <w:sz w:val="24"/>
        <w:szCs w:val="24"/>
      </w:rPr>
    </w:lvl>
  </w:abstractNum>
  <w:abstractNum w:abstractNumId="1" w15:restartNumberingAfterBreak="0">
    <w:nsid w:val="2B547F5F"/>
    <w:multiLevelType w:val="hybridMultilevel"/>
    <w:tmpl w:val="CF32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78503C"/>
    <w:multiLevelType w:val="multilevel"/>
    <w:tmpl w:val="8BF81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F44C6"/>
    <w:multiLevelType w:val="hybridMultilevel"/>
    <w:tmpl w:val="B24E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186"/>
    <w:rsid w:val="000044B1"/>
    <w:rsid w:val="00005387"/>
    <w:rsid w:val="00013963"/>
    <w:rsid w:val="00037CCC"/>
    <w:rsid w:val="00043EB6"/>
    <w:rsid w:val="000475DF"/>
    <w:rsid w:val="000525F5"/>
    <w:rsid w:val="00067D62"/>
    <w:rsid w:val="000703E0"/>
    <w:rsid w:val="0007068F"/>
    <w:rsid w:val="000812F9"/>
    <w:rsid w:val="000A58A4"/>
    <w:rsid w:val="000A6455"/>
    <w:rsid w:val="000A73CE"/>
    <w:rsid w:val="000B4828"/>
    <w:rsid w:val="000D3320"/>
    <w:rsid w:val="00105B70"/>
    <w:rsid w:val="00106F74"/>
    <w:rsid w:val="00111657"/>
    <w:rsid w:val="00111998"/>
    <w:rsid w:val="00111E07"/>
    <w:rsid w:val="00113A96"/>
    <w:rsid w:val="00116A2F"/>
    <w:rsid w:val="001273C8"/>
    <w:rsid w:val="001352ED"/>
    <w:rsid w:val="001758C9"/>
    <w:rsid w:val="00185C30"/>
    <w:rsid w:val="00192075"/>
    <w:rsid w:val="00194B3E"/>
    <w:rsid w:val="001A2F91"/>
    <w:rsid w:val="001B0EE4"/>
    <w:rsid w:val="001B1E56"/>
    <w:rsid w:val="001B2E37"/>
    <w:rsid w:val="001B6DBA"/>
    <w:rsid w:val="001C4647"/>
    <w:rsid w:val="001D5DA5"/>
    <w:rsid w:val="001D7F5F"/>
    <w:rsid w:val="00207EF2"/>
    <w:rsid w:val="00216CF1"/>
    <w:rsid w:val="0022124B"/>
    <w:rsid w:val="002246A0"/>
    <w:rsid w:val="00230E76"/>
    <w:rsid w:val="002325BE"/>
    <w:rsid w:val="00235085"/>
    <w:rsid w:val="002432F5"/>
    <w:rsid w:val="00244FFB"/>
    <w:rsid w:val="0024530C"/>
    <w:rsid w:val="00246418"/>
    <w:rsid w:val="00247771"/>
    <w:rsid w:val="00264E16"/>
    <w:rsid w:val="00275983"/>
    <w:rsid w:val="00284FA6"/>
    <w:rsid w:val="00296611"/>
    <w:rsid w:val="0029677C"/>
    <w:rsid w:val="002A1083"/>
    <w:rsid w:val="002A2C35"/>
    <w:rsid w:val="002A6606"/>
    <w:rsid w:val="002B1C02"/>
    <w:rsid w:val="002B33F4"/>
    <w:rsid w:val="002B342C"/>
    <w:rsid w:val="002B3D63"/>
    <w:rsid w:val="002B78EC"/>
    <w:rsid w:val="002C13F0"/>
    <w:rsid w:val="002C37A7"/>
    <w:rsid w:val="002D182B"/>
    <w:rsid w:val="002D1CD6"/>
    <w:rsid w:val="002F1B91"/>
    <w:rsid w:val="002F4D77"/>
    <w:rsid w:val="002F7CA1"/>
    <w:rsid w:val="00300939"/>
    <w:rsid w:val="00302470"/>
    <w:rsid w:val="003028BA"/>
    <w:rsid w:val="0031799F"/>
    <w:rsid w:val="00320599"/>
    <w:rsid w:val="003305A0"/>
    <w:rsid w:val="0033171C"/>
    <w:rsid w:val="00333411"/>
    <w:rsid w:val="00384821"/>
    <w:rsid w:val="003A0CDD"/>
    <w:rsid w:val="003B3CF6"/>
    <w:rsid w:val="003B4275"/>
    <w:rsid w:val="003C4BE1"/>
    <w:rsid w:val="003E68F8"/>
    <w:rsid w:val="003F4AF2"/>
    <w:rsid w:val="003F6B1F"/>
    <w:rsid w:val="004164CE"/>
    <w:rsid w:val="00420A1F"/>
    <w:rsid w:val="004230F1"/>
    <w:rsid w:val="004269C3"/>
    <w:rsid w:val="00427542"/>
    <w:rsid w:val="00432A30"/>
    <w:rsid w:val="00433FDC"/>
    <w:rsid w:val="0044024A"/>
    <w:rsid w:val="00442907"/>
    <w:rsid w:val="004430BC"/>
    <w:rsid w:val="00453087"/>
    <w:rsid w:val="00456238"/>
    <w:rsid w:val="00462B98"/>
    <w:rsid w:val="004876C6"/>
    <w:rsid w:val="00494BEB"/>
    <w:rsid w:val="004A04E8"/>
    <w:rsid w:val="004A77AC"/>
    <w:rsid w:val="004D3657"/>
    <w:rsid w:val="004D47DE"/>
    <w:rsid w:val="004D6D5B"/>
    <w:rsid w:val="004D7153"/>
    <w:rsid w:val="004E27EF"/>
    <w:rsid w:val="0051656C"/>
    <w:rsid w:val="00543DA5"/>
    <w:rsid w:val="00555828"/>
    <w:rsid w:val="00555910"/>
    <w:rsid w:val="0055714A"/>
    <w:rsid w:val="00561969"/>
    <w:rsid w:val="005642F0"/>
    <w:rsid w:val="0057123C"/>
    <w:rsid w:val="00591C33"/>
    <w:rsid w:val="005D7FC6"/>
    <w:rsid w:val="005E7E1E"/>
    <w:rsid w:val="005F09C1"/>
    <w:rsid w:val="006442AE"/>
    <w:rsid w:val="00651BAC"/>
    <w:rsid w:val="006600A0"/>
    <w:rsid w:val="00681FFB"/>
    <w:rsid w:val="0069263A"/>
    <w:rsid w:val="006A1BD3"/>
    <w:rsid w:val="006A28EA"/>
    <w:rsid w:val="006A5349"/>
    <w:rsid w:val="006A551B"/>
    <w:rsid w:val="006B5DA0"/>
    <w:rsid w:val="007237CC"/>
    <w:rsid w:val="0072513B"/>
    <w:rsid w:val="007569E5"/>
    <w:rsid w:val="00771B9E"/>
    <w:rsid w:val="0077222B"/>
    <w:rsid w:val="007856E8"/>
    <w:rsid w:val="007A316E"/>
    <w:rsid w:val="007B3B41"/>
    <w:rsid w:val="007C2698"/>
    <w:rsid w:val="007D2559"/>
    <w:rsid w:val="007E319B"/>
    <w:rsid w:val="007E71EC"/>
    <w:rsid w:val="00802477"/>
    <w:rsid w:val="00806DDC"/>
    <w:rsid w:val="008070BF"/>
    <w:rsid w:val="00810B2D"/>
    <w:rsid w:val="00831DC3"/>
    <w:rsid w:val="0084198D"/>
    <w:rsid w:val="00855E43"/>
    <w:rsid w:val="00866C95"/>
    <w:rsid w:val="00871255"/>
    <w:rsid w:val="00872354"/>
    <w:rsid w:val="008A0F75"/>
    <w:rsid w:val="008B2EDE"/>
    <w:rsid w:val="008B6D86"/>
    <w:rsid w:val="008C3D82"/>
    <w:rsid w:val="008D50F9"/>
    <w:rsid w:val="008E6E15"/>
    <w:rsid w:val="009044BF"/>
    <w:rsid w:val="00907E0D"/>
    <w:rsid w:val="00914C70"/>
    <w:rsid w:val="00920257"/>
    <w:rsid w:val="009251F9"/>
    <w:rsid w:val="00933FB7"/>
    <w:rsid w:val="0094032C"/>
    <w:rsid w:val="00965343"/>
    <w:rsid w:val="00970566"/>
    <w:rsid w:val="009A56AD"/>
    <w:rsid w:val="009A5FBA"/>
    <w:rsid w:val="00A17C25"/>
    <w:rsid w:val="00A42221"/>
    <w:rsid w:val="00A47344"/>
    <w:rsid w:val="00A51C75"/>
    <w:rsid w:val="00A535ED"/>
    <w:rsid w:val="00A55A2B"/>
    <w:rsid w:val="00A60078"/>
    <w:rsid w:val="00A61D81"/>
    <w:rsid w:val="00A70B6C"/>
    <w:rsid w:val="00A73396"/>
    <w:rsid w:val="00A74A7E"/>
    <w:rsid w:val="00A8595D"/>
    <w:rsid w:val="00A85978"/>
    <w:rsid w:val="00AA5BEA"/>
    <w:rsid w:val="00AB6257"/>
    <w:rsid w:val="00AC622B"/>
    <w:rsid w:val="00AE0186"/>
    <w:rsid w:val="00AE17CA"/>
    <w:rsid w:val="00AE597B"/>
    <w:rsid w:val="00AE6FE3"/>
    <w:rsid w:val="00AF05AE"/>
    <w:rsid w:val="00AF05B3"/>
    <w:rsid w:val="00B075C7"/>
    <w:rsid w:val="00B1058A"/>
    <w:rsid w:val="00B42099"/>
    <w:rsid w:val="00B619EB"/>
    <w:rsid w:val="00B742D1"/>
    <w:rsid w:val="00B82316"/>
    <w:rsid w:val="00B83061"/>
    <w:rsid w:val="00BB0264"/>
    <w:rsid w:val="00BC4C31"/>
    <w:rsid w:val="00BE6153"/>
    <w:rsid w:val="00C02C7E"/>
    <w:rsid w:val="00C04F7E"/>
    <w:rsid w:val="00C12019"/>
    <w:rsid w:val="00C15E86"/>
    <w:rsid w:val="00C47421"/>
    <w:rsid w:val="00CA2C07"/>
    <w:rsid w:val="00CA5DC8"/>
    <w:rsid w:val="00CD7015"/>
    <w:rsid w:val="00D136E4"/>
    <w:rsid w:val="00D61981"/>
    <w:rsid w:val="00D73016"/>
    <w:rsid w:val="00DA6BB3"/>
    <w:rsid w:val="00DA7405"/>
    <w:rsid w:val="00DB4476"/>
    <w:rsid w:val="00DC0653"/>
    <w:rsid w:val="00DC3FDA"/>
    <w:rsid w:val="00DC5577"/>
    <w:rsid w:val="00DD6964"/>
    <w:rsid w:val="00DF13C5"/>
    <w:rsid w:val="00DF6494"/>
    <w:rsid w:val="00E14034"/>
    <w:rsid w:val="00E37661"/>
    <w:rsid w:val="00E401BE"/>
    <w:rsid w:val="00E44BCC"/>
    <w:rsid w:val="00E82493"/>
    <w:rsid w:val="00E84A00"/>
    <w:rsid w:val="00E93C59"/>
    <w:rsid w:val="00EB45E1"/>
    <w:rsid w:val="00EC6B90"/>
    <w:rsid w:val="00ED3C2C"/>
    <w:rsid w:val="00EE1CFE"/>
    <w:rsid w:val="00EE7638"/>
    <w:rsid w:val="00F24B7C"/>
    <w:rsid w:val="00F24F2D"/>
    <w:rsid w:val="00F51EE6"/>
    <w:rsid w:val="00F617EF"/>
    <w:rsid w:val="00F65117"/>
    <w:rsid w:val="00F66621"/>
    <w:rsid w:val="00F82347"/>
    <w:rsid w:val="00F868A1"/>
    <w:rsid w:val="00F92234"/>
    <w:rsid w:val="00F96050"/>
    <w:rsid w:val="00FA788F"/>
    <w:rsid w:val="00FC50CB"/>
    <w:rsid w:val="00FD7B80"/>
    <w:rsid w:val="00FF68D2"/>
    <w:rsid w:val="00FF72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E0DAE"/>
  <w15:docId w15:val="{C878FB24-264E-413B-B2BE-CF26F049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186"/>
    <w:pPr>
      <w:spacing w:after="160" w:line="259" w:lineRule="auto"/>
    </w:pPr>
    <w:rPr>
      <w:lang w:val="en-GB"/>
    </w:rPr>
  </w:style>
  <w:style w:type="paragraph" w:styleId="Rubrik1">
    <w:name w:val="heading 1"/>
    <w:basedOn w:val="Normal"/>
    <w:next w:val="Normal"/>
    <w:link w:val="Rubrik1Char"/>
    <w:uiPriority w:val="9"/>
    <w:qFormat/>
    <w:rsid w:val="00AE01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AE0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E018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Rubrik4">
    <w:name w:val="heading 4"/>
    <w:basedOn w:val="Normal"/>
    <w:next w:val="Normal"/>
    <w:link w:val="Rubrik4Char"/>
    <w:uiPriority w:val="9"/>
    <w:unhideWhenUsed/>
    <w:qFormat/>
    <w:rsid w:val="00AE018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AE018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AE018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E0186"/>
    <w:rPr>
      <w:rFonts w:asciiTheme="majorHAnsi" w:eastAsiaTheme="majorEastAsia" w:hAnsiTheme="majorHAnsi" w:cstheme="majorBidi"/>
      <w:color w:val="365F91" w:themeColor="accent1" w:themeShade="BF"/>
      <w:sz w:val="32"/>
      <w:szCs w:val="32"/>
      <w:lang w:val="en-GB"/>
    </w:rPr>
  </w:style>
  <w:style w:type="character" w:customStyle="1" w:styleId="Rubrik2Char">
    <w:name w:val="Rubrik 2 Char"/>
    <w:basedOn w:val="Standardstycketeckensnitt"/>
    <w:link w:val="Rubrik2"/>
    <w:uiPriority w:val="9"/>
    <w:rsid w:val="00AE0186"/>
    <w:rPr>
      <w:rFonts w:asciiTheme="majorHAnsi" w:eastAsiaTheme="majorEastAsia" w:hAnsiTheme="majorHAnsi" w:cstheme="majorBidi"/>
      <w:b/>
      <w:bCs/>
      <w:color w:val="4F81BD" w:themeColor="accent1"/>
      <w:sz w:val="26"/>
      <w:szCs w:val="26"/>
      <w:lang w:val="en-GB"/>
    </w:rPr>
  </w:style>
  <w:style w:type="character" w:customStyle="1" w:styleId="Rubrik3Char">
    <w:name w:val="Rubrik 3 Char"/>
    <w:basedOn w:val="Standardstycketeckensnitt"/>
    <w:link w:val="Rubrik3"/>
    <w:uiPriority w:val="9"/>
    <w:rsid w:val="00AE0186"/>
    <w:rPr>
      <w:rFonts w:asciiTheme="majorHAnsi" w:eastAsiaTheme="majorEastAsia" w:hAnsiTheme="majorHAnsi" w:cstheme="majorBidi"/>
      <w:color w:val="243F60" w:themeColor="accent1" w:themeShade="7F"/>
      <w:sz w:val="24"/>
      <w:szCs w:val="24"/>
      <w:lang w:val="en-GB"/>
    </w:rPr>
  </w:style>
  <w:style w:type="character" w:customStyle="1" w:styleId="Rubrik4Char">
    <w:name w:val="Rubrik 4 Char"/>
    <w:basedOn w:val="Standardstycketeckensnitt"/>
    <w:link w:val="Rubrik4"/>
    <w:uiPriority w:val="9"/>
    <w:rsid w:val="00AE0186"/>
    <w:rPr>
      <w:rFonts w:asciiTheme="majorHAnsi" w:eastAsiaTheme="majorEastAsia" w:hAnsiTheme="majorHAnsi" w:cstheme="majorBidi"/>
      <w:b/>
      <w:bCs/>
      <w:i/>
      <w:iCs/>
      <w:color w:val="4F81BD" w:themeColor="accent1"/>
      <w:lang w:val="en-GB"/>
    </w:rPr>
  </w:style>
  <w:style w:type="character" w:customStyle="1" w:styleId="Rubrik5Char">
    <w:name w:val="Rubrik 5 Char"/>
    <w:basedOn w:val="Standardstycketeckensnitt"/>
    <w:link w:val="Rubrik5"/>
    <w:uiPriority w:val="9"/>
    <w:rsid w:val="00AE0186"/>
    <w:rPr>
      <w:rFonts w:asciiTheme="majorHAnsi" w:eastAsiaTheme="majorEastAsia" w:hAnsiTheme="majorHAnsi" w:cstheme="majorBidi"/>
      <w:color w:val="243F60" w:themeColor="accent1" w:themeShade="7F"/>
      <w:lang w:val="en-GB"/>
    </w:rPr>
  </w:style>
  <w:style w:type="character" w:customStyle="1" w:styleId="Rubrik6Char">
    <w:name w:val="Rubrik 6 Char"/>
    <w:basedOn w:val="Standardstycketeckensnitt"/>
    <w:link w:val="Rubrik6"/>
    <w:uiPriority w:val="9"/>
    <w:rsid w:val="00AE0186"/>
    <w:rPr>
      <w:rFonts w:asciiTheme="majorHAnsi" w:eastAsiaTheme="majorEastAsia" w:hAnsiTheme="majorHAnsi" w:cstheme="majorBidi"/>
      <w:i/>
      <w:iCs/>
      <w:color w:val="243F60" w:themeColor="accent1" w:themeShade="7F"/>
      <w:lang w:val="en-GB"/>
    </w:rPr>
  </w:style>
  <w:style w:type="paragraph" w:styleId="Liststycke">
    <w:name w:val="List Paragraph"/>
    <w:basedOn w:val="Normal"/>
    <w:uiPriority w:val="34"/>
    <w:qFormat/>
    <w:rsid w:val="00AE0186"/>
    <w:pPr>
      <w:ind w:left="720"/>
      <w:contextualSpacing/>
    </w:pPr>
  </w:style>
  <w:style w:type="character" w:styleId="Hyperlnk">
    <w:name w:val="Hyperlink"/>
    <w:basedOn w:val="Standardstycketeckensnitt"/>
    <w:uiPriority w:val="99"/>
    <w:unhideWhenUsed/>
    <w:rsid w:val="00AE0186"/>
    <w:rPr>
      <w:color w:val="0000FF" w:themeColor="hyperlink"/>
      <w:u w:val="single"/>
    </w:rPr>
  </w:style>
  <w:style w:type="paragraph" w:customStyle="1" w:styleId="EndNoteBibliographyTitle">
    <w:name w:val="EndNote Bibliography Title"/>
    <w:basedOn w:val="Normal"/>
    <w:link w:val="EndNoteBibliographyTitleChar"/>
    <w:rsid w:val="00AE0186"/>
    <w:pPr>
      <w:spacing w:after="0"/>
      <w:jc w:val="center"/>
    </w:pPr>
    <w:rPr>
      <w:rFonts w:ascii="Calibri" w:hAnsi="Calibri"/>
      <w:noProof/>
      <w:lang w:val="en-US"/>
    </w:rPr>
  </w:style>
  <w:style w:type="character" w:customStyle="1" w:styleId="EndNoteBibliographyTitleChar">
    <w:name w:val="EndNote Bibliography Title Char"/>
    <w:basedOn w:val="Standardstycketeckensnitt"/>
    <w:link w:val="EndNoteBibliographyTitle"/>
    <w:rsid w:val="00AE0186"/>
    <w:rPr>
      <w:rFonts w:ascii="Calibri" w:hAnsi="Calibri"/>
      <w:noProof/>
      <w:lang w:val="en-US"/>
    </w:rPr>
  </w:style>
  <w:style w:type="paragraph" w:customStyle="1" w:styleId="EndNoteBibliography">
    <w:name w:val="EndNote Bibliography"/>
    <w:basedOn w:val="Normal"/>
    <w:link w:val="EndNoteBibliographyChar"/>
    <w:rsid w:val="00AE0186"/>
    <w:pPr>
      <w:spacing w:line="240" w:lineRule="auto"/>
    </w:pPr>
    <w:rPr>
      <w:rFonts w:ascii="Calibri" w:hAnsi="Calibri"/>
      <w:noProof/>
      <w:lang w:val="en-US"/>
    </w:rPr>
  </w:style>
  <w:style w:type="character" w:customStyle="1" w:styleId="EndNoteBibliographyChar">
    <w:name w:val="EndNote Bibliography Char"/>
    <w:basedOn w:val="Standardstycketeckensnitt"/>
    <w:link w:val="EndNoteBibliography"/>
    <w:rsid w:val="00AE0186"/>
    <w:rPr>
      <w:rFonts w:ascii="Calibri" w:hAnsi="Calibri"/>
      <w:noProof/>
      <w:lang w:val="en-US"/>
    </w:rPr>
  </w:style>
  <w:style w:type="paragraph" w:styleId="Beskrivning">
    <w:name w:val="caption"/>
    <w:basedOn w:val="Normal"/>
    <w:next w:val="Normal"/>
    <w:uiPriority w:val="35"/>
    <w:unhideWhenUsed/>
    <w:qFormat/>
    <w:rsid w:val="00AE0186"/>
    <w:pPr>
      <w:spacing w:after="200" w:line="240" w:lineRule="auto"/>
    </w:pPr>
    <w:rPr>
      <w:i/>
      <w:iCs/>
      <w:color w:val="1F497D" w:themeColor="text2"/>
      <w:sz w:val="18"/>
      <w:szCs w:val="18"/>
    </w:rPr>
  </w:style>
  <w:style w:type="paragraph" w:styleId="Normalwebb">
    <w:name w:val="Normal (Web)"/>
    <w:basedOn w:val="Normal"/>
    <w:uiPriority w:val="99"/>
    <w:semiHidden/>
    <w:unhideWhenUsed/>
    <w:rsid w:val="00AE0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Standardstycketeckensnitt"/>
    <w:rsid w:val="00AE0186"/>
  </w:style>
  <w:style w:type="character" w:styleId="Platshllartext">
    <w:name w:val="Placeholder Text"/>
    <w:basedOn w:val="Standardstycketeckensnitt"/>
    <w:uiPriority w:val="99"/>
    <w:semiHidden/>
    <w:rsid w:val="00AE0186"/>
    <w:rPr>
      <w:color w:val="808080"/>
    </w:rPr>
  </w:style>
  <w:style w:type="paragraph" w:styleId="Ballongtext">
    <w:name w:val="Balloon Text"/>
    <w:basedOn w:val="Normal"/>
    <w:link w:val="BallongtextChar"/>
    <w:uiPriority w:val="99"/>
    <w:semiHidden/>
    <w:unhideWhenUsed/>
    <w:rsid w:val="00AE018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E0186"/>
    <w:rPr>
      <w:rFonts w:ascii="Tahoma" w:hAnsi="Tahoma" w:cs="Tahoma"/>
      <w:sz w:val="16"/>
      <w:szCs w:val="16"/>
      <w:lang w:val="en-GB"/>
    </w:rPr>
  </w:style>
  <w:style w:type="character" w:styleId="Kommentarsreferens">
    <w:name w:val="annotation reference"/>
    <w:basedOn w:val="Standardstycketeckensnitt"/>
    <w:uiPriority w:val="99"/>
    <w:semiHidden/>
    <w:unhideWhenUsed/>
    <w:rsid w:val="00AE0186"/>
    <w:rPr>
      <w:sz w:val="16"/>
      <w:szCs w:val="16"/>
    </w:rPr>
  </w:style>
  <w:style w:type="paragraph" w:styleId="Kommentarer">
    <w:name w:val="annotation text"/>
    <w:basedOn w:val="Normal"/>
    <w:link w:val="KommentarerChar"/>
    <w:uiPriority w:val="99"/>
    <w:unhideWhenUsed/>
    <w:rsid w:val="00AE0186"/>
    <w:pPr>
      <w:spacing w:line="240" w:lineRule="auto"/>
    </w:pPr>
    <w:rPr>
      <w:sz w:val="20"/>
      <w:szCs w:val="20"/>
    </w:rPr>
  </w:style>
  <w:style w:type="character" w:customStyle="1" w:styleId="KommentarerChar">
    <w:name w:val="Kommentarer Char"/>
    <w:basedOn w:val="Standardstycketeckensnitt"/>
    <w:link w:val="Kommentarer"/>
    <w:uiPriority w:val="99"/>
    <w:rsid w:val="00AE0186"/>
    <w:rPr>
      <w:sz w:val="20"/>
      <w:szCs w:val="20"/>
      <w:lang w:val="en-GB"/>
    </w:rPr>
  </w:style>
  <w:style w:type="paragraph" w:styleId="Kommentarsmne">
    <w:name w:val="annotation subject"/>
    <w:basedOn w:val="Kommentarer"/>
    <w:next w:val="Kommentarer"/>
    <w:link w:val="KommentarsmneChar"/>
    <w:uiPriority w:val="99"/>
    <w:semiHidden/>
    <w:unhideWhenUsed/>
    <w:rsid w:val="00AE0186"/>
    <w:rPr>
      <w:b/>
      <w:bCs/>
    </w:rPr>
  </w:style>
  <w:style w:type="character" w:customStyle="1" w:styleId="KommentarsmneChar">
    <w:name w:val="Kommentarsämne Char"/>
    <w:basedOn w:val="KommentarerChar"/>
    <w:link w:val="Kommentarsmne"/>
    <w:uiPriority w:val="99"/>
    <w:semiHidden/>
    <w:rsid w:val="00AE0186"/>
    <w:rPr>
      <w:b/>
      <w:bCs/>
      <w:sz w:val="20"/>
      <w:szCs w:val="20"/>
      <w:lang w:val="en-GB"/>
    </w:rPr>
  </w:style>
  <w:style w:type="paragraph" w:styleId="Revision">
    <w:name w:val="Revision"/>
    <w:hidden/>
    <w:uiPriority w:val="99"/>
    <w:semiHidden/>
    <w:rsid w:val="00AE0186"/>
    <w:pPr>
      <w:spacing w:after="0" w:line="240" w:lineRule="auto"/>
    </w:pPr>
    <w:rPr>
      <w:lang w:val="en-GB"/>
    </w:rPr>
  </w:style>
  <w:style w:type="paragraph" w:styleId="Ingetavstnd">
    <w:name w:val="No Spacing"/>
    <w:uiPriority w:val="1"/>
    <w:qFormat/>
    <w:rsid w:val="00AE0186"/>
    <w:pPr>
      <w:spacing w:after="0" w:line="240" w:lineRule="auto"/>
    </w:pPr>
    <w:rPr>
      <w:lang w:val="en-GB"/>
    </w:rPr>
  </w:style>
  <w:style w:type="character" w:customStyle="1" w:styleId="st">
    <w:name w:val="st"/>
    <w:basedOn w:val="Standardstycketeckensnitt"/>
    <w:rsid w:val="00AE0186"/>
  </w:style>
  <w:style w:type="table" w:styleId="Tabellrutnt">
    <w:name w:val="Table Grid"/>
    <w:basedOn w:val="Normaltabell"/>
    <w:uiPriority w:val="39"/>
    <w:rsid w:val="00AE018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
    <w:name w:val="Light List"/>
    <w:basedOn w:val="Normaltabell"/>
    <w:uiPriority w:val="61"/>
    <w:rsid w:val="00AE0186"/>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skuggning-dekorfrg1">
    <w:name w:val="Light Shading Accent 1"/>
    <w:basedOn w:val="Normaltabell"/>
    <w:uiPriority w:val="60"/>
    <w:rsid w:val="00AE0186"/>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
    <w:name w:val="Light Shading"/>
    <w:basedOn w:val="Normaltabell"/>
    <w:uiPriority w:val="60"/>
    <w:rsid w:val="00AE0186"/>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kod">
    <w:name w:val="HTML Code"/>
    <w:basedOn w:val="Standardstycketeckensnitt"/>
    <w:uiPriority w:val="99"/>
    <w:semiHidden/>
    <w:unhideWhenUsed/>
    <w:rsid w:val="00AE0186"/>
    <w:rPr>
      <w:rFonts w:ascii="Courier New" w:eastAsia="Times New Roman" w:hAnsi="Courier New" w:cs="Courier New"/>
      <w:sz w:val="20"/>
      <w:szCs w:val="20"/>
    </w:rPr>
  </w:style>
  <w:style w:type="character" w:styleId="Betoning">
    <w:name w:val="Emphasis"/>
    <w:basedOn w:val="Standardstycketeckensnitt"/>
    <w:uiPriority w:val="20"/>
    <w:qFormat/>
    <w:rsid w:val="00AE0186"/>
    <w:rPr>
      <w:i/>
      <w:iCs/>
    </w:rPr>
  </w:style>
  <w:style w:type="paragraph" w:styleId="Sidhuvud">
    <w:name w:val="header"/>
    <w:basedOn w:val="Normal"/>
    <w:link w:val="SidhuvudChar"/>
    <w:uiPriority w:val="99"/>
    <w:unhideWhenUsed/>
    <w:rsid w:val="00AE018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E0186"/>
    <w:rPr>
      <w:lang w:val="en-GB"/>
    </w:rPr>
  </w:style>
  <w:style w:type="paragraph" w:styleId="Sidfot">
    <w:name w:val="footer"/>
    <w:basedOn w:val="Normal"/>
    <w:link w:val="SidfotChar"/>
    <w:uiPriority w:val="99"/>
    <w:unhideWhenUsed/>
    <w:rsid w:val="00AE018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E0186"/>
    <w:rPr>
      <w:lang w:val="en-GB"/>
    </w:rPr>
  </w:style>
  <w:style w:type="table" w:customStyle="1" w:styleId="Ljusskuggning-dekorfrg31">
    <w:name w:val="Ljus skuggning - dekorfärg 31"/>
    <w:basedOn w:val="Normaltabell"/>
    <w:uiPriority w:val="60"/>
    <w:rsid w:val="00AE0186"/>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Rutntstabell31">
    <w:name w:val="Rutnätstabell 31"/>
    <w:basedOn w:val="Normaltabell"/>
    <w:uiPriority w:val="48"/>
    <w:rsid w:val="00AE0186"/>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ighlight2">
    <w:name w:val="highlight2"/>
    <w:basedOn w:val="Standardstycketeckensnitt"/>
    <w:rsid w:val="00AE0186"/>
  </w:style>
  <w:style w:type="paragraph" w:styleId="Brdtext">
    <w:name w:val="Body Text"/>
    <w:basedOn w:val="Normal"/>
    <w:link w:val="BrdtextChar"/>
    <w:uiPriority w:val="99"/>
    <w:semiHidden/>
    <w:unhideWhenUsed/>
    <w:rsid w:val="00AE0186"/>
    <w:pPr>
      <w:spacing w:after="120" w:line="256" w:lineRule="auto"/>
    </w:pPr>
  </w:style>
  <w:style w:type="character" w:customStyle="1" w:styleId="BrdtextChar">
    <w:name w:val="Brödtext Char"/>
    <w:basedOn w:val="Standardstycketeckensnitt"/>
    <w:link w:val="Brdtext"/>
    <w:uiPriority w:val="99"/>
    <w:semiHidden/>
    <w:rsid w:val="00AE0186"/>
    <w:rPr>
      <w:lang w:val="en-GB"/>
    </w:rPr>
  </w:style>
  <w:style w:type="table" w:customStyle="1" w:styleId="Tabellrutnt1">
    <w:name w:val="Tabellrutnät1"/>
    <w:basedOn w:val="Normaltabell"/>
    <w:next w:val="Tabellrutnt"/>
    <w:uiPriority w:val="59"/>
    <w:rsid w:val="00AE0186"/>
    <w:pPr>
      <w:spacing w:after="80" w:line="240" w:lineRule="auto"/>
    </w:pPr>
    <w:rPr>
      <w:rFonts w:eastAsia="MS Mincho"/>
      <w:sz w:val="24"/>
      <w:szCs w:val="24"/>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AE0186"/>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E0186"/>
    <w:rPr>
      <w:sz w:val="20"/>
      <w:szCs w:val="20"/>
      <w:lang w:val="en-GB"/>
    </w:rPr>
  </w:style>
  <w:style w:type="character" w:styleId="Fotnotsreferens">
    <w:name w:val="footnote reference"/>
    <w:basedOn w:val="Standardstycketeckensnitt"/>
    <w:uiPriority w:val="99"/>
    <w:semiHidden/>
    <w:unhideWhenUsed/>
    <w:rsid w:val="00AE0186"/>
    <w:rPr>
      <w:vertAlign w:val="superscript"/>
    </w:rPr>
  </w:style>
  <w:style w:type="character" w:styleId="Stark">
    <w:name w:val="Strong"/>
    <w:basedOn w:val="Standardstycketeckensnitt"/>
    <w:uiPriority w:val="22"/>
    <w:qFormat/>
    <w:rsid w:val="00AE0186"/>
    <w:rPr>
      <w:b/>
      <w:bCs/>
    </w:rPr>
  </w:style>
  <w:style w:type="character" w:styleId="AnvndHyperlnk">
    <w:name w:val="FollowedHyperlink"/>
    <w:basedOn w:val="Standardstycketeckensnitt"/>
    <w:uiPriority w:val="99"/>
    <w:semiHidden/>
    <w:unhideWhenUsed/>
    <w:rsid w:val="00AE0186"/>
    <w:rPr>
      <w:color w:val="800080" w:themeColor="followedHyperlink"/>
      <w:u w:val="single"/>
    </w:rPr>
  </w:style>
  <w:style w:type="paragraph" w:customStyle="1" w:styleId="xmsonormal">
    <w:name w:val="x_msonormal"/>
    <w:basedOn w:val="Normal"/>
    <w:rsid w:val="00AE0186"/>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46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608BA3D-AB31-4513-BF05-990C2AB0F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38281</Words>
  <Characters>202895</Characters>
  <Application>Microsoft Office Word</Application>
  <DocSecurity>0</DocSecurity>
  <Lines>1690</Lines>
  <Paragraphs>481</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240695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Mickeadm</dc:creator>
  <cp:lastModifiedBy>Micke</cp:lastModifiedBy>
  <cp:revision>3</cp:revision>
  <dcterms:created xsi:type="dcterms:W3CDTF">2018-10-11T07:00:00Z</dcterms:created>
  <dcterms:modified xsi:type="dcterms:W3CDTF">2018-10-11T07:05:00Z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http://csl.mendeley.com/styles/500331301/american-medical-association-NMRinBiomed</vt:lpwstr>
  </property>
  <property fmtid="{D5CDD505-2E9C-101B-9397-08002B2CF9AE}" pid="5" name="Mendeley Recent Style Name 1_1">
    <vt:lpwstr>American Medical Association - Mikael Montelius, PhD</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3bf56403-a5f8-3e43-bcac-eda3f3f19f73</vt:lpwstr>
  </property>
  <property fmtid="{D5CDD505-2E9C-101B-9397-08002B2CF9AE}" pid="24" name="Mendeley Citation Style_1">
    <vt:lpwstr>http://csl.mendeley.com/styles/500331301/american-medical-association-NMRinBiomed</vt:lpwstr>
  </property>
</Properties>
</file>